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E2F2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E2F27">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E2F27">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bCs/>
          <w:color w:val="000000" w:themeColor="text1"/>
          <w:sz w:val="24"/>
          <w:szCs w:val="24"/>
        </w:rPr>
      </w:pPr>
      <w:r w:rsidR="00AE6F74">
        <w:rPr>
          <w:rFonts w:ascii="Times New Roman" w:hAnsi="Times New Roman" w:cs="Times New Roman"/>
          <w:bCs/>
          <w:color w:val="000000" w:themeColor="text1"/>
          <w:sz w:val="24"/>
          <w:szCs w:val="24"/>
        </w:rPr>
        <w:t>Selon sa conception, le temps de planification et de construction d’une sonde ne devrait plus dépasser un délai de trois ans, et ses frais sont définitivement limités à 150 millions de dollars. Les constructeurs de NEAR réussirent à se tenir à ces conditions : le budget n’atteignit même pas 112 millions de dollars, et la phase de préparation était terminée après à peine 26 mois.</w:t>
      </w:r>
    </w:p>
    <w:p>
      <w:pPr>
        <w:spacing w:after="0" w:line="240" w:lineRule="auto"/>
        <w:ind w:firstLine="708"/>
        <w:jc w:val="both"/>
        <w:rPr>
          <w:rFonts w:ascii="Times New Roman" w:hAnsi="Times New Roman" w:cs="Times New Roman"/>
          <w:bCs/>
          <w:color w:val="000000" w:themeColor="text1"/>
          <w:sz w:val="24"/>
          <w:szCs w:val="24"/>
        </w:rPr>
      </w:pPr>
      <w:r w:rsidR="00AE6F74">
        <w:rPr>
          <w:rFonts w:ascii="Times New Roman" w:hAnsi="Times New Roman" w:cs="Times New Roman"/>
          <w:bCs/>
          <w:color w:val="000000" w:themeColor="text1"/>
          <w:sz w:val="24"/>
          <w:szCs w:val="24"/>
        </w:rPr>
        <w:t xml:space="preserve">Les principes du programme “Discovery” impliquent automatiquement une certaine “simplicité” de la construction. Les six </w:t>
      </w:r>
      <w:hyperlink r:id="rId6" w:tgtFrame="astro2" w:history="1">
        <w:r w:rsidR="00AE6F74">
          <w:rPr>
            <w:rStyle w:val="Lienhypertexte"/>
            <w:rFonts w:ascii="Times New Roman" w:hAnsi="Times New Roman"/>
            <w:color w:val="000000" w:themeColor="text1"/>
            <w:sz w:val="24"/>
            <w:szCs w:val="24"/>
          </w:rPr>
          <w:t>instruments</w:t>
        </w:r>
      </w:hyperlink>
      <w:r w:rsidR="00AE6F74">
        <w:rPr>
          <w:rFonts w:ascii="Times New Roman" w:hAnsi="Times New Roman" w:cs="Times New Roman"/>
          <w:bCs/>
          <w:color w:val="000000" w:themeColor="text1"/>
          <w:sz w:val="24"/>
          <w:szCs w:val="24"/>
        </w:rPr>
        <w:t xml:space="preserve"> que la sonde emporta avec elle ainsi que son antenne de </w:t>
      </w:r>
      <w:smartTag w:uri="urn:schemas-microsoft-com:office:smarttags" w:element="metricconverter">
        <w:smartTagPr>
          <w:attr w:name="ProductID" w:val="1,5 mètre"/>
        </w:smartTagPr>
        <w:r w:rsidR="00AE6F74">
          <w:rPr>
            <w:rFonts w:ascii="Times New Roman" w:hAnsi="Times New Roman" w:cs="Times New Roman"/>
            <w:bCs/>
            <w:color w:val="000000" w:themeColor="text1"/>
            <w:sz w:val="24"/>
            <w:szCs w:val="24"/>
          </w:rPr>
          <w:t>1,5 mètre</w:t>
        </w:r>
      </w:smartTag>
      <w:r w:rsidR="00AE6F74">
        <w:rPr>
          <w:rFonts w:ascii="Times New Roman" w:hAnsi="Times New Roman" w:cs="Times New Roman"/>
          <w:bCs/>
          <w:color w:val="000000" w:themeColor="text1"/>
          <w:sz w:val="24"/>
          <w:szCs w:val="24"/>
        </w:rPr>
        <w:t xml:space="preserve"> sont fixes. Les quatre panneaux solaires sont les seules pièces à déployer. Après les problèmes qui, encore récemment, furent posés par d’autres constructions plus compliquées, ce système permet de fonctionner plus efficacement.</w:t>
      </w:r>
    </w:p>
    <w:p>
      <w:pPr>
        <w:spacing w:after="0" w:line="240" w:lineRule="auto"/>
        <w:ind w:firstLine="708"/>
        <w:jc w:val="both"/>
        <w:rPr>
          <w:rFonts w:ascii="Times New Roman" w:hAnsi="Times New Roman" w:cs="Times New Roman"/>
          <w:bCs/>
          <w:color w:val="000000" w:themeColor="text1"/>
          <w:sz w:val="24"/>
          <w:szCs w:val="24"/>
        </w:rPr>
      </w:pPr>
      <w:r w:rsidR="00AE6F74">
        <w:rPr>
          <w:rFonts w:ascii="Times New Roman" w:hAnsi="Times New Roman" w:cs="Times New Roman"/>
          <w:bCs/>
          <w:color w:val="000000" w:themeColor="text1"/>
          <w:sz w:val="24"/>
          <w:szCs w:val="24"/>
        </w:rPr>
        <w:t xml:space="preserve">Pour atteindre l’objectif scientifique de la mission, les responsables choisirent une cible qui appartient au groupe des </w:t>
      </w:r>
      <w:hyperlink r:id="rId7" w:tgtFrame="astro2" w:history="1">
        <w:r w:rsidR="00AE6F74">
          <w:rPr>
            <w:rStyle w:val="Lienhypertexte"/>
            <w:rFonts w:ascii="Times New Roman" w:hAnsi="Times New Roman"/>
            <w:color w:val="000000" w:themeColor="text1"/>
            <w:sz w:val="24"/>
            <w:szCs w:val="24"/>
          </w:rPr>
          <w:t>EGA</w:t>
        </w:r>
      </w:hyperlink>
      <w:r w:rsidR="00AE6F74">
        <w:rPr>
          <w:rFonts w:ascii="Times New Roman" w:hAnsi="Times New Roman" w:cs="Times New Roman"/>
          <w:bCs/>
          <w:color w:val="000000" w:themeColor="text1"/>
          <w:sz w:val="24"/>
          <w:szCs w:val="24"/>
        </w:rPr>
        <w:t xml:space="preserve">. Au contraire des astéroïdes situés entre Mars et Jupiter, ces “Earth grazers” seraient en effet des comètes “mortes” ou des fragments de corps issus de la ceinture principale, qui, lors d’une collision, auraient été cassés. Mais déjà quelques jours après la </w:t>
      </w:r>
      <w:hyperlink r:id="rId8" w:tgtFrame="astro2" w:history="1">
        <w:r w:rsidR="00AE6F74">
          <w:rPr>
            <w:rStyle w:val="Lienhypertexte"/>
            <w:rFonts w:ascii="Times New Roman" w:hAnsi="Times New Roman"/>
            <w:color w:val="000000" w:themeColor="text1"/>
            <w:sz w:val="24"/>
            <w:szCs w:val="24"/>
          </w:rPr>
          <w:t>rencontre</w:t>
        </w:r>
      </w:hyperlink>
      <w:r w:rsidR="00AE6F74">
        <w:rPr>
          <w:rFonts w:ascii="Times New Roman" w:hAnsi="Times New Roman" w:cs="Times New Roman"/>
          <w:bCs/>
          <w:color w:val="000000" w:themeColor="text1"/>
          <w:sz w:val="24"/>
          <w:szCs w:val="24"/>
        </w:rPr>
        <w:t xml:space="preserve"> entre NEAR et Eros, on se rendit compte que cette théorie ne correspond pas forcément à la réalité...</w:t>
      </w:r>
    </w:p>
    <w:p>
      <w:pPr>
        <w:spacing w:after="0" w:line="240" w:lineRule="auto"/>
        <w:ind w:firstLine="708"/>
        <w:jc w:val="both"/>
        <w:rPr>
          <w:rFonts w:ascii="Times New Roman" w:hAnsi="Times New Roman" w:cs="Times New Roman"/>
          <w:bCs/>
          <w:color w:val="000000" w:themeColor="text1"/>
          <w:sz w:val="24"/>
          <w:szCs w:val="24"/>
        </w:rPr>
      </w:pPr>
      <w:hyperlink r:id="rId9" w:tgtFrame="astro2" w:history="1">
        <w:r w:rsidR="00AE6F74">
          <w:rPr>
            <w:rStyle w:val="Lienhypertexte"/>
            <w:rFonts w:ascii="Times New Roman" w:hAnsi="Times New Roman"/>
            <w:color w:val="000000" w:themeColor="text1"/>
            <w:sz w:val="24"/>
            <w:szCs w:val="24"/>
          </w:rPr>
          <w:t>433 Eros</w:t>
        </w:r>
      </w:hyperlink>
      <w:r w:rsidR="00AE6F74">
        <w:rPr>
          <w:rFonts w:ascii="Times New Roman" w:hAnsi="Times New Roman" w:cs="Times New Roman"/>
          <w:bCs/>
          <w:color w:val="000000" w:themeColor="text1"/>
          <w:sz w:val="24"/>
          <w:szCs w:val="24"/>
        </w:rPr>
        <w:t xml:space="preserve">, l’élu pour le rendez-vous historique, n’est pas seulement le premier objet du groupe à avoir été découvert, il a aussi l’avantage de faire partie des “frôleurs de Terre” les plus grands. Et, autre atout, il ne semble pas posséder de satellite naturel tel que </w:t>
      </w:r>
      <w:hyperlink r:id="rId10" w:tgtFrame="astro2" w:history="1">
        <w:r w:rsidR="00AE6F74">
          <w:rPr>
            <w:rStyle w:val="Lienhypertexte"/>
            <w:rFonts w:ascii="Times New Roman" w:hAnsi="Times New Roman"/>
            <w:color w:val="000000" w:themeColor="text1"/>
            <w:sz w:val="24"/>
            <w:szCs w:val="24"/>
          </w:rPr>
          <w:t>243 Ida</w:t>
        </w:r>
      </w:hyperlink>
      <w:r w:rsidR="00AE6F74">
        <w:rPr>
          <w:rFonts w:ascii="Times New Roman" w:hAnsi="Times New Roman" w:cs="Times New Roman"/>
          <w:bCs/>
          <w:color w:val="000000" w:themeColor="text1"/>
          <w:sz w:val="24"/>
          <w:szCs w:val="24"/>
        </w:rPr>
        <w:t xml:space="preserve"> ou </w:t>
      </w:r>
      <w:hyperlink r:id="rId11" w:tgtFrame="astro2" w:history="1">
        <w:r w:rsidR="00AE6F74">
          <w:rPr>
            <w:rStyle w:val="Lienhypertexte"/>
            <w:rFonts w:ascii="Times New Roman" w:hAnsi="Times New Roman"/>
            <w:color w:val="000000" w:themeColor="text1"/>
            <w:sz w:val="24"/>
            <w:szCs w:val="24"/>
          </w:rPr>
          <w:t>45 Eugenia</w:t>
        </w:r>
      </w:hyperlink>
      <w:r w:rsidR="00AE6F74">
        <w:rPr>
          <w:rFonts w:ascii="Times New Roman" w:hAnsi="Times New Roman" w:cs="Times New Roman"/>
          <w:bCs/>
          <w:color w:val="000000" w:themeColor="text1"/>
          <w:sz w:val="24"/>
          <w:szCs w:val="24"/>
        </w:rPr>
        <w:t>. C’est que NEAR n’aurait probablement aucune chance de “survivre” une collision avec une lune en orbite autour d’Eros.</w:t>
      </w:r>
    </w:p>
    <w:p>
      <w:pPr>
        <w:spacing w:after="0" w:line="240" w:lineRule="auto"/>
        <w:ind w:firstLine="708"/>
        <w:jc w:val="both"/>
        <w:rPr>
          <w:rFonts w:ascii="Times New Roman" w:hAnsi="Times New Roman" w:cs="Times New Roman"/>
          <w:bCs/>
          <w:color w:val="000000" w:themeColor="text1"/>
          <w:sz w:val="24"/>
          <w:szCs w:val="24"/>
        </w:rPr>
      </w:pPr>
      <w:r w:rsidR="00AE6F74">
        <w:rPr>
          <w:rFonts w:ascii="Times New Roman" w:hAnsi="Times New Roman" w:cs="Times New Roman"/>
          <w:bCs/>
          <w:color w:val="000000" w:themeColor="text1"/>
          <w:sz w:val="24"/>
          <w:szCs w:val="24"/>
        </w:rPr>
        <w:t>Une autre innovation imposée à la NASA par la conception de son “Discovery” est l’emploi d’une équipe extérieure. La sonde fut construite par les techniciens du “Johns Hopkins University Applied Physics Laboratory” (JHU/APL) à Laurel, Mississippi, et c’est ici que le déroulement de la mission est surveillé.</w:t>
      </w:r>
    </w:p>
    <w:p>
      <w:pPr>
        <w:spacing w:after="0" w:line="240" w:lineRule="auto"/>
        <w:ind w:firstLine="708"/>
        <w:jc w:val="both"/>
        <w:rPr>
          <w:rFonts w:ascii="Times New Roman" w:hAnsi="Times New Roman" w:cs="Times New Roman"/>
          <w:sz w:val="24"/>
          <w:szCs w:val="24"/>
        </w:rPr>
      </w:pPr>
      <w:r w:rsidR="00AE6F74" w:rsidRPr="00AE6F74">
        <w:rPr>
          <w:rFonts w:ascii="Times New Roman" w:hAnsi="Times New Roman" w:cs="Times New Roman"/>
          <w:sz w:val="24"/>
          <w:szCs w:val="24"/>
        </w:rPr>
        <w:t xml:space="preserve">L’équipement scientifique de NEAR qui, en tout, ne pèse que </w:t>
      </w:r>
      <w:smartTag w:uri="urn:schemas-microsoft-com:office:smarttags" w:element="metricconverter">
        <w:smartTagPr>
          <w:attr w:name="ProductID" w:val="805 kg"/>
        </w:smartTagPr>
        <w:r w:rsidR="00AE6F74" w:rsidRPr="00AE6F74">
          <w:rPr>
            <w:rFonts w:ascii="Times New Roman" w:hAnsi="Times New Roman" w:cs="Times New Roman"/>
            <w:sz w:val="24"/>
            <w:szCs w:val="24"/>
          </w:rPr>
          <w:t>805 kg</w:t>
        </w:r>
      </w:smartTag>
      <w:r w:rsidR="00AE6F74" w:rsidRPr="00AE6F74">
        <w:rPr>
          <w:rFonts w:ascii="Times New Roman" w:hAnsi="Times New Roman" w:cs="Times New Roman"/>
          <w:sz w:val="24"/>
          <w:szCs w:val="24"/>
        </w:rPr>
        <w:t xml:space="preserve">, ne peut certainement pas être comparé à celui des projets plus coûteux et importants, mais il fut choisi dans l’idée de servir efficacement au but de la mission. Le </w:t>
      </w:r>
      <w:hyperlink r:id="rId12" w:tgtFrame="astro2" w:history="1">
        <w:r w:rsidR="00AE6F74" w:rsidRPr="00AE6F74">
          <w:rPr>
            <w:rStyle w:val="Lienhypertexte"/>
            <w:rFonts w:ascii="Times New Roman" w:hAnsi="Times New Roman" w:cs="Times New Roman"/>
            <w:color w:val="000000" w:themeColor="text1"/>
            <w:sz w:val="24"/>
            <w:szCs w:val="24"/>
          </w:rPr>
          <w:t>spectrographe</w:t>
        </w:r>
      </w:hyperlink>
      <w:r w:rsidR="00AE6F74" w:rsidRPr="00AE6F74">
        <w:rPr>
          <w:rFonts w:ascii="Times New Roman" w:hAnsi="Times New Roman" w:cs="Times New Roman"/>
          <w:sz w:val="24"/>
          <w:szCs w:val="24"/>
        </w:rPr>
        <w:t xml:space="preserve"> qui fonctionne dans l’infrarouge proche fut employé le 13 février 2000, lorsque la sonde se tint sur la ligne droite entre le </w:t>
      </w:r>
      <w:hyperlink r:id="rId13" w:tgtFrame="astro2" w:history="1">
        <w:r w:rsidR="00AE6F74" w:rsidRPr="00AE6F74">
          <w:rPr>
            <w:rStyle w:val="Lienhypertexte"/>
            <w:rFonts w:ascii="Times New Roman" w:hAnsi="Times New Roman" w:cs="Times New Roman"/>
            <w:color w:val="000000" w:themeColor="text1"/>
            <w:sz w:val="24"/>
            <w:szCs w:val="24"/>
          </w:rPr>
          <w:t>Soleil</w:t>
        </w:r>
      </w:hyperlink>
      <w:r w:rsidR="00AE6F74" w:rsidRPr="00AE6F74">
        <w:rPr>
          <w:rFonts w:ascii="Times New Roman" w:hAnsi="Times New Roman" w:cs="Times New Roman"/>
          <w:sz w:val="24"/>
          <w:szCs w:val="24"/>
        </w:rPr>
        <w:t xml:space="preserve"> et le pôle Nord d’Eros. Le </w:t>
      </w:r>
      <w:hyperlink r:id="rId14" w:tgtFrame="astro2" w:history="1">
        <w:r w:rsidR="00AE6F74" w:rsidRPr="00AE6F74">
          <w:rPr>
            <w:rStyle w:val="Lienhypertexte"/>
            <w:rFonts w:ascii="Times New Roman" w:hAnsi="Times New Roman" w:cs="Times New Roman"/>
            <w:color w:val="000000" w:themeColor="text1"/>
            <w:sz w:val="24"/>
            <w:szCs w:val="24"/>
          </w:rPr>
          <w:t>spectromètre</w:t>
        </w:r>
      </w:hyperlink>
      <w:r w:rsidR="00AE6F74" w:rsidRPr="00AE6F74">
        <w:rPr>
          <w:rFonts w:ascii="Times New Roman" w:hAnsi="Times New Roman" w:cs="Times New Roman"/>
          <w:sz w:val="24"/>
          <w:szCs w:val="24"/>
        </w:rPr>
        <w:t xml:space="preserve"> de NEAR est destiné aux rayonnements X et gamma, l'</w:t>
      </w:r>
      <w:hyperlink r:id="rId15" w:tgtFrame="astro2" w:history="1">
        <w:r w:rsidR="00AE6F74" w:rsidRPr="00AE6F74">
          <w:rPr>
            <w:rStyle w:val="Lienhypertexte"/>
            <w:rFonts w:ascii="Times New Roman" w:hAnsi="Times New Roman" w:cs="Times New Roman"/>
            <w:color w:val="000000" w:themeColor="text1"/>
            <w:sz w:val="24"/>
            <w:szCs w:val="24"/>
          </w:rPr>
          <w:t>imageur multispectral</w:t>
        </w:r>
      </w:hyperlink>
      <w:r w:rsidR="00AE6F74" w:rsidRPr="00AE6F74">
        <w:rPr>
          <w:rFonts w:ascii="Times New Roman" w:hAnsi="Times New Roman" w:cs="Times New Roman"/>
          <w:sz w:val="24"/>
          <w:szCs w:val="24"/>
        </w:rPr>
        <w:t xml:space="preserve"> pourvu d’un détecteur d’image CCD, dont l’utilité fut prouvée le 27 juin 1997, lors du </w:t>
      </w:r>
      <w:hyperlink r:id="rId16" w:tgtFrame="astro2" w:history="1">
        <w:r w:rsidR="00AE6F74" w:rsidRPr="00AE6F74">
          <w:rPr>
            <w:rStyle w:val="Lienhypertexte"/>
            <w:rFonts w:ascii="Times New Roman" w:hAnsi="Times New Roman" w:cs="Times New Roman"/>
            <w:color w:val="000000" w:themeColor="text1"/>
            <w:sz w:val="24"/>
            <w:szCs w:val="24"/>
          </w:rPr>
          <w:t>survol</w:t>
        </w:r>
      </w:hyperlink>
      <w:r w:rsidR="00AE6F74" w:rsidRPr="00AE6F74">
        <w:rPr>
          <w:rFonts w:ascii="Times New Roman" w:hAnsi="Times New Roman" w:cs="Times New Roman"/>
          <w:sz w:val="24"/>
          <w:szCs w:val="24"/>
        </w:rPr>
        <w:t xml:space="preserve"> de </w:t>
      </w:r>
      <w:hyperlink r:id="rId17" w:tgtFrame="astro2" w:history="1">
        <w:r w:rsidR="00AE6F74" w:rsidRPr="00AE6F74">
          <w:rPr>
            <w:rStyle w:val="Lienhypertexte"/>
            <w:rFonts w:ascii="Times New Roman" w:hAnsi="Times New Roman" w:cs="Times New Roman"/>
            <w:color w:val="000000" w:themeColor="text1"/>
            <w:sz w:val="24"/>
            <w:szCs w:val="24"/>
          </w:rPr>
          <w:t>253 Mathilde</w:t>
        </w:r>
      </w:hyperlink>
      <w:r w:rsidR="00AE6F74" w:rsidRPr="00AE6F74">
        <w:rPr>
          <w:rFonts w:ascii="Times New Roman" w:hAnsi="Times New Roman" w:cs="Times New Roman"/>
          <w:sz w:val="24"/>
          <w:szCs w:val="24"/>
        </w:rPr>
        <w:t>, est capable de capter des détails de surface pas plus grands qu’un mètre carré, et un “</w:t>
      </w:r>
      <w:hyperlink r:id="rId18" w:tgtFrame="astro2" w:history="1">
        <w:r w:rsidR="00AE6F74" w:rsidRPr="00AE6F74">
          <w:rPr>
            <w:rStyle w:val="Lienhypertexte"/>
            <w:rFonts w:ascii="Times New Roman" w:hAnsi="Times New Roman" w:cs="Times New Roman"/>
            <w:color w:val="000000" w:themeColor="text1"/>
            <w:sz w:val="24"/>
            <w:szCs w:val="24"/>
          </w:rPr>
          <w:t>laser-rangefinder</w:t>
        </w:r>
      </w:hyperlink>
      <w:r w:rsidR="00AE6F74" w:rsidRPr="00AE6F74">
        <w:rPr>
          <w:rFonts w:ascii="Times New Roman" w:hAnsi="Times New Roman" w:cs="Times New Roman"/>
          <w:sz w:val="24"/>
          <w:szCs w:val="24"/>
        </w:rPr>
        <w:t xml:space="preserve">”, un </w:t>
      </w:r>
      <w:hyperlink r:id="rId19" w:tgtFrame="astro2" w:history="1">
        <w:r w:rsidR="00AE6F74" w:rsidRPr="00AE6F74">
          <w:rPr>
            <w:rStyle w:val="Lienhypertexte"/>
            <w:rFonts w:ascii="Times New Roman" w:hAnsi="Times New Roman" w:cs="Times New Roman"/>
            <w:color w:val="000000" w:themeColor="text1"/>
            <w:sz w:val="24"/>
            <w:szCs w:val="24"/>
          </w:rPr>
          <w:t>magnétomètre</w:t>
        </w:r>
      </w:hyperlink>
      <w:r w:rsidR="00AE6F74" w:rsidRPr="00AE6F74">
        <w:rPr>
          <w:rFonts w:ascii="Times New Roman" w:hAnsi="Times New Roman" w:cs="Times New Roman"/>
          <w:sz w:val="24"/>
          <w:szCs w:val="24"/>
        </w:rPr>
        <w:t xml:space="preserve"> ainsi qu’un “</w:t>
      </w:r>
      <w:hyperlink r:id="rId20" w:tgtFrame="astro2" w:history="1">
        <w:r w:rsidR="00AE6F74" w:rsidRPr="00AE6F74">
          <w:rPr>
            <w:rStyle w:val="Lienhypertexte"/>
            <w:rFonts w:ascii="Times New Roman" w:hAnsi="Times New Roman" w:cs="Times New Roman"/>
            <w:color w:val="000000" w:themeColor="text1"/>
            <w:sz w:val="24"/>
            <w:szCs w:val="24"/>
          </w:rPr>
          <w:t>radio science experiment</w:t>
        </w:r>
      </w:hyperlink>
      <w:r w:rsidR="00AE6F74" w:rsidRPr="00AE6F74">
        <w:rPr>
          <w:rFonts w:ascii="Times New Roman" w:hAnsi="Times New Roman" w:cs="Times New Roman"/>
          <w:sz w:val="24"/>
          <w:szCs w:val="24"/>
        </w:rPr>
        <w:t xml:space="preserve">” complètent le chargement scientifique de la sonde. 1998 KY26 porta encore une autre surprise. Il ne se “contenta” évidemment pas de s’approcher de la Terre d’une manière qui, partout dans le monde, le fit apparaître sur la une des journaux, il semble qu’il établit également un nouveau record : sa </w:t>
      </w:r>
      <w:hyperlink r:id="rId21" w:tgtFrame="astro2" w:history="1">
        <w:r w:rsidR="00AE6F74" w:rsidRPr="00AE6F74">
          <w:rPr>
            <w:rStyle w:val="Lienhypertexte"/>
            <w:rFonts w:ascii="Times New Roman" w:eastAsiaTheme="majorEastAsia" w:hAnsi="Times New Roman" w:cs="Times New Roman"/>
            <w:color w:val="000000" w:themeColor="text1"/>
            <w:sz w:val="24"/>
            <w:szCs w:val="24"/>
          </w:rPr>
          <w:t>vitesse de rotation</w:t>
        </w:r>
      </w:hyperlink>
      <w:r w:rsidR="00AE6F74" w:rsidRPr="00AE6F74">
        <w:rPr>
          <w:rFonts w:ascii="Times New Roman" w:hAnsi="Times New Roman" w:cs="Times New Roman"/>
          <w:sz w:val="24"/>
          <w:szCs w:val="24"/>
        </w:rPr>
        <w:t xml:space="preserve"> se limite à 10,2 minutes et fait de lui l’objet qui tourne plus rapidement que tous les autres corps connus à l'intérieur du Système solaire. Selon un membre de l’équipe de l’université d’Arizona qui, en 1998, découvrit cet astéroïde étrange, ses “habitants” y pourraient observer des levers ou couchers de Soleil dans un rythme de cinq minutes. Toutefois, ils n’en profiteraient pas longtemps : ces spectacles ne dureraient jamais qu’une seule seconde.</w:t>
      </w:r>
    </w:p>
    <w:p>
      <w:pPr>
        <w:spacing w:after="0" w:line="240" w:lineRule="auto"/>
        <w:ind w:firstLine="708"/>
        <w:jc w:val="both"/>
        <w:rPr>
          <w:rFonts w:ascii="Times New Roman" w:hAnsi="Times New Roman" w:cs="Times New Roman"/>
          <w:sz w:val="24"/>
          <w:szCs w:val="24"/>
        </w:rPr>
      </w:pPr>
    </w:p>
    <w:p>
      <w:pPr>
        <w:spacing w:after="0" w:line="240" w:lineRule="auto"/>
        <w:ind w:firstLine="708"/>
        <w:jc w:val="center"/>
        <w:rPr>
          <w:rFonts w:ascii="Times New Roman" w:hAnsi="Times New Roman" w:cs="Times New Roman"/>
          <w:b/>
          <w:bCs/>
          <w:color w:val="000000" w:themeColor="text1"/>
          <w:sz w:val="24"/>
          <w:szCs w:val="24"/>
        </w:rPr>
      </w:pPr>
      <w:r w:rsidR="00AE6F74" w:rsidRPr="00AE6F74">
        <w:rPr>
          <w:rFonts w:ascii="Times New Roman" w:hAnsi="Times New Roman" w:cs="Times New Roman"/>
          <w:b/>
          <w:sz w:val="24"/>
          <w:szCs w:val="24"/>
        </w:rPr>
        <w:t>Fin du t</w:t>
      </w:r>
      <w:r w:rsidR="00AE6F74">
        <w:rPr>
          <w:rFonts w:ascii="Times New Roman" w:hAnsi="Times New Roman" w:cs="Times New Roman"/>
          <w:b/>
          <w:bCs/>
          <w:color w:val="000000" w:themeColor="text1"/>
          <w:sz w:val="24"/>
          <w:szCs w:val="24"/>
        </w:rPr>
        <w:t xml:space="preserve">reizième chapitre </w:t>
      </w:r>
    </w:p>
    <w:sectPr w:rsidR="00493AD1" w:rsidRPr="00AE6F74" w:rsidSect="00493AD1">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960B0">
        <w:separator/>
      </w:r>
    </w:p>
  </w:endnote>
  <w:endnote w:type="continuationSeparator" w:id="1">
    <w:p>
      <w:pPr>
        <w:spacing w:after="0" w:line="240" w:lineRule="auto"/>
      </w:pPr>
      <w:r w:rsidR="006960B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E2F27">
      <w:t>380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960B0">
        <w:separator/>
      </w:r>
    </w:p>
  </w:footnote>
  <w:footnote w:type="continuationSeparator" w:id="1">
    <w:p>
      <w:pPr>
        <w:spacing w:after="0" w:line="240" w:lineRule="auto"/>
      </w:pPr>
      <w:r w:rsidR="006960B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FE2F27"/>
    <w:rsid w:val="00277563"/>
    <w:rsid w:val="00493AD1"/>
    <w:rsid w:val="006960B0"/>
    <w:rsid w:val="00AE6F74"/>
    <w:rsid w:val="00FE2F2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93AD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E2F2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E2F27"/>
  </w:style>
  <w:style w:type="paragraph" w:styleId="Pieddepage">
    <w:name w:val="footer"/>
    <w:basedOn w:val="Normal"/>
    <w:link w:val="PieddepageCar"/>
    <w:uiPriority w:val="99"/>
    <w:semiHidden/>
    <w:unhideWhenUsed/>
    <w:rsid w:val="00FE2F2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E2F27"/>
  </w:style>
  <w:style w:type="paragraph" w:styleId="Textedebulles">
    <w:name w:val="Balloon Text"/>
    <w:basedOn w:val="Normal"/>
    <w:link w:val="TextedebullesCar"/>
    <w:uiPriority w:val="99"/>
    <w:semiHidden/>
    <w:unhideWhenUsed/>
    <w:rsid w:val="00FE2F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2F27"/>
    <w:rPr>
      <w:rFonts w:ascii="Tahoma" w:hAnsi="Tahoma" w:cs="Tahoma"/>
      <w:sz w:val="16"/>
      <w:szCs w:val="16"/>
    </w:rPr>
  </w:style>
  <w:style w:type="character" w:styleId="Lienhypertexte">
    <w:name w:val="Hyperlink"/>
    <w:basedOn w:val="Policepardfaut"/>
    <w:uiPriority w:val="99"/>
    <w:semiHidden/>
    <w:unhideWhenUsed/>
    <w:rsid w:val="00AE6F74"/>
    <w:rPr>
      <w:strike w:val="0"/>
      <w:dstrike w:val="0"/>
      <w:color w:val="66FFFF"/>
      <w:u w:val="none"/>
      <w:effect w:val="none"/>
    </w:rPr>
  </w:style>
  <w:style w:type="paragraph" w:styleId="NormalWeb">
    <w:name w:val="Normal (Web)"/>
    <w:basedOn w:val="Normal"/>
    <w:uiPriority w:val="99"/>
    <w:semiHidden/>
    <w:unhideWhenUsed/>
    <w:rsid w:val="00AE6F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1346252185">
      <w:bodyDiv w:val="1"/>
      <w:marLeft w:val="0"/>
      <w:marRight w:val="0"/>
      <w:marTop w:val="0"/>
      <w:marBottom w:val="0"/>
      <w:divBdr>
        <w:top w:val="none" w:sz="0" w:space="0" w:color="auto"/>
        <w:left w:val="none" w:sz="0" w:space="0" w:color="auto"/>
        <w:bottom w:val="none" w:sz="0" w:space="0" w:color="auto"/>
        <w:right w:val="none" w:sz="0" w:space="0" w:color="auto"/>
      </w:divBdr>
    </w:div>
    <w:div w:id="155657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news/actu2_2.html" TargetMode="External"/><Relationship Id="rId13" Type="http://schemas.openxmlformats.org/officeDocument/2006/relationships/hyperlink" Target="http://www.anaconda-2.net/q_z/S007.html" TargetMode="External"/><Relationship Id="rId18" Type="http://schemas.openxmlformats.org/officeDocument/2006/relationships/hyperlink" Target="http://www.anaconda-2.net/n_p/N010.html" TargetMode="External"/><Relationship Id="rId3" Type="http://schemas.openxmlformats.org/officeDocument/2006/relationships/webSettings" Target="webSettings.xml"/><Relationship Id="rId21" Type="http://schemas.openxmlformats.org/officeDocument/2006/relationships/hyperlink" Target="http://www.anaconda-2.net/q_z/V003.html" TargetMode="External"/><Relationship Id="rId7" Type="http://schemas.openxmlformats.org/officeDocument/2006/relationships/hyperlink" Target="http://www.anaconda-2.net/a_f/E006.html" TargetMode="External"/><Relationship Id="rId12" Type="http://schemas.openxmlformats.org/officeDocument/2006/relationships/hyperlink" Target="http://www.anaconda-2.net/n_p/N014.html" TargetMode="External"/><Relationship Id="rId17" Type="http://schemas.openxmlformats.org/officeDocument/2006/relationships/hyperlink" Target="http://www.anaconda-2.net/g_m/M011.html" TargetMode="External"/><Relationship Id="rId2" Type="http://schemas.openxmlformats.org/officeDocument/2006/relationships/settings" Target="settings.xml"/><Relationship Id="rId16" Type="http://schemas.openxmlformats.org/officeDocument/2006/relationships/hyperlink" Target="http://www.anaconda-2.net/n_p/N008.html" TargetMode="External"/><Relationship Id="rId20" Type="http://schemas.openxmlformats.org/officeDocument/2006/relationships/hyperlink" Target="http://www.anaconda-2.net/n_p/N013.html" TargetMode="External"/><Relationship Id="rId1" Type="http://schemas.openxmlformats.org/officeDocument/2006/relationships/styles" Target="styles.xml"/><Relationship Id="rId6" Type="http://schemas.openxmlformats.org/officeDocument/2006/relationships/hyperlink" Target="http://www.anaconda-2.net/n_p/N009.html" TargetMode="External"/><Relationship Id="rId11" Type="http://schemas.openxmlformats.org/officeDocument/2006/relationships/hyperlink" Target="http://www.anaconda-2.net/a_f/E011.html"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anaconda-2.net/n_p/N009.html" TargetMode="External"/><Relationship Id="rId23" Type="http://schemas.openxmlformats.org/officeDocument/2006/relationships/fontTable" Target="fontTable.xml"/><Relationship Id="rId10" Type="http://schemas.openxmlformats.org/officeDocument/2006/relationships/hyperlink" Target="http://www.anaconda-2.net/g_m/I002.html" TargetMode="External"/><Relationship Id="rId19" Type="http://schemas.openxmlformats.org/officeDocument/2006/relationships/hyperlink" Target="http://www.anaconda-2.net/n_p/N011.html" TargetMode="External"/><Relationship Id="rId4" Type="http://schemas.openxmlformats.org/officeDocument/2006/relationships/footnotes" Target="footnotes.xml"/><Relationship Id="rId9" Type="http://schemas.openxmlformats.org/officeDocument/2006/relationships/hyperlink" Target="http://www.anaconda-2.net/a_f/E012.html" TargetMode="External"/><Relationship Id="rId14" Type="http://schemas.openxmlformats.org/officeDocument/2006/relationships/hyperlink" Target="http://www.anaconda-2.net/n_p/N012.html" TargetMode="External"/><Relationship Id="rId22"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730</Words>
  <Characters>4016</Characters>
  <Application>Microsoft Office Word</Application>
  <DocSecurity>0</DocSecurity>
  <Lines>33</Lines>
  <Paragraphs>9</Paragraphs>
  <ScaleCrop>false</ScaleCrop>
  <Company> </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2006-09-02T15:38:00Z</dcterms:created>
  <dcterms:modified xsi:type="dcterms:W3CDTF">2006-09-03T17:02:00Z</dcterms:modified>
</cp:coreProperties>
</file>