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51C6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51C65">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51C65">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i/>
          <w:iCs/>
          <w:color w:val="000000" w:themeColor="text1"/>
          <w:sz w:val="24"/>
          <w:szCs w:val="24"/>
        </w:rPr>
        <w:t>La longitude du nœud ascendant</w:t>
      </w:r>
      <w:r w:rsidR="003268D4" w:rsidRPr="003268D4">
        <w:rPr>
          <w:rFonts w:ascii="Times New Roman" w:hAnsi="Times New Roman" w:cs="Times New Roman"/>
          <w:color w:val="000000" w:themeColor="text1"/>
          <w:sz w:val="24"/>
          <w:szCs w:val="24"/>
        </w:rPr>
        <w:t xml:space="preserve"> </w:t>
      </w:r>
      <w:r w:rsidR="003268D4" w:rsidRPr="003268D4">
        <w:rPr>
          <w:rFonts w:ascii="Times New Roman" w:hAnsi="Times New Roman" w:cs="Times New Roman"/>
          <w:b/>
          <w:bCs/>
          <w:color w:val="000000" w:themeColor="text1"/>
          <w:sz w:val="24"/>
          <w:szCs w:val="24"/>
        </w:rPr>
        <w:t>W</w:t>
      </w:r>
      <w:r w:rsidR="003268D4" w:rsidRPr="003268D4">
        <w:rPr>
          <w:rFonts w:ascii="Times New Roman" w:hAnsi="Times New Roman" w:cs="Times New Roman"/>
          <w:color w:val="000000" w:themeColor="text1"/>
          <w:sz w:val="24"/>
          <w:szCs w:val="24"/>
        </w:rPr>
        <w:t xml:space="preserve"> : Le nœud ascendant est le premier point où l’orbite de la comète croise l’écliptique. La longitude, mesurée en degrés, est l’angle que fait la droite passant par le soleil et le nœud ascendant, avec la direction du point vernal (point où le soleil, au cours de son trajet dans notre ciel, coupe l’équateur céleste à l’équinoxe de printemps).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i/>
          <w:iCs/>
          <w:color w:val="000000" w:themeColor="text1"/>
          <w:sz w:val="24"/>
          <w:szCs w:val="24"/>
        </w:rPr>
        <w:t>L’Argument du périhélie</w:t>
      </w:r>
      <w:r w:rsidR="003268D4" w:rsidRPr="003268D4">
        <w:rPr>
          <w:rFonts w:ascii="Times New Roman" w:hAnsi="Times New Roman" w:cs="Times New Roman"/>
          <w:color w:val="000000" w:themeColor="text1"/>
          <w:sz w:val="24"/>
          <w:szCs w:val="24"/>
        </w:rPr>
        <w:t xml:space="preserve"> </w:t>
      </w:r>
      <w:r w:rsidR="003268D4" w:rsidRPr="003268D4">
        <w:rPr>
          <w:rFonts w:ascii="Times New Roman" w:hAnsi="Times New Roman" w:cs="Times New Roman"/>
          <w:b/>
          <w:bCs/>
          <w:color w:val="000000" w:themeColor="text1"/>
          <w:sz w:val="24"/>
          <w:szCs w:val="24"/>
        </w:rPr>
        <w:t>w</w:t>
      </w:r>
      <w:r w:rsidR="003268D4" w:rsidRPr="003268D4">
        <w:rPr>
          <w:rFonts w:ascii="Times New Roman" w:hAnsi="Times New Roman" w:cs="Times New Roman"/>
          <w:color w:val="000000" w:themeColor="text1"/>
          <w:sz w:val="24"/>
          <w:szCs w:val="24"/>
        </w:rPr>
        <w:t xml:space="preserve"> : Angle entre la direction du périhélie (par rapport au soleil), et celle de la ligne des nœuds ascendant et descendant.</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L’attraction d’une planète peut considérablement modifier l’orbite d’une comète, au point que cette dernière soit capturée et se satellise autour. Après plusieurs tours, il peut arriver qu’elle retourne sur une trajectoire autour du soleil.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D’autres peuvent passer d’une orbite elliptique à une orbite hyperbolique qui les conduit hors du système solaire. En ce qui concerne Hale-Bopp, qui est déjà passée près du Soleil il y a 4200 ans, sa course a été modifiée en 1986 par l’attraction de Jupiter. Elle reviendra alors dans « seulement » 2380 ans.</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268D4" w:rsidRPr="003268D4">
        <w:rPr>
          <w:rFonts w:ascii="Times New Roman" w:hAnsi="Times New Roman" w:cs="Times New Roman"/>
          <w:b/>
          <w:color w:val="000000" w:themeColor="text1"/>
          <w:sz w:val="24"/>
          <w:szCs w:val="24"/>
        </w:rPr>
        <w:t>Le noyau</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C’est un agglomérat de glaces et de poussières, ce qui lui donne une structure plu</w:t>
      </w:r>
      <w:r w:rsidR="00D72F7A">
        <w:rPr>
          <w:rFonts w:ascii="Times New Roman" w:hAnsi="Times New Roman" w:cs="Times New Roman"/>
          <w:color w:val="000000" w:themeColor="text1"/>
          <w:sz w:val="24"/>
          <w:szCs w:val="24"/>
        </w:rPr>
        <w:t>tôt irrégulière. Son rayon peut-</w:t>
      </w:r>
      <w:r w:rsidR="003268D4" w:rsidRPr="003268D4">
        <w:rPr>
          <w:rFonts w:ascii="Times New Roman" w:hAnsi="Times New Roman" w:cs="Times New Roman"/>
          <w:color w:val="000000" w:themeColor="text1"/>
          <w:sz w:val="24"/>
          <w:szCs w:val="24"/>
        </w:rPr>
        <w:t xml:space="preserve">être de plusieurs centaines de mètres, jusqu'à une dizaine de kilomètres.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Sa densité n’est pour l’instant que très peu contrainte par les </w:t>
      </w:r>
      <w:r w:rsidR="00D72F7A">
        <w:rPr>
          <w:rFonts w:ascii="Times New Roman" w:hAnsi="Times New Roman" w:cs="Times New Roman"/>
          <w:color w:val="000000" w:themeColor="text1"/>
          <w:sz w:val="24"/>
          <w:szCs w:val="24"/>
        </w:rPr>
        <w:t xml:space="preserve">observations : entre 0.1 et 0.9. </w:t>
      </w:r>
      <w:r w:rsidR="003268D4" w:rsidRPr="003268D4">
        <w:rPr>
          <w:rFonts w:ascii="Times New Roman" w:hAnsi="Times New Roman" w:cs="Times New Roman"/>
          <w:color w:val="000000" w:themeColor="text1"/>
          <w:sz w:val="24"/>
          <w:szCs w:val="24"/>
        </w:rPr>
        <w:t xml:space="preserve">Il est relativement fragile, et il arrive que sous l’action de l’attraction du soleil, ou d’un autre corps, le noyau se brise en plusieurs parties, comme ce fut le cas pour la comète Shoemaker-Levy 9 avant son impact avec Jupiter.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Il est difficile d’estimer la durée de vie d’un noyau. On pense qu’au fur et à mesure de ses passages près du Soleil son activité s’amenuise jusqu'à ne plus pouvoir être distingué d’un astéroïde. Un calcul très simplifié nous permet néanmoins de montrer que les comètes peuvent effectuer de nombreux passages au périhélie avant de « s’éteindre ».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Le rayon de la comète Hale-Bopp est estimé à </w:t>
      </w:r>
      <w:smartTag w:uri="urn:schemas-microsoft-com:office:smarttags" w:element="metricconverter">
        <w:smartTagPr>
          <w:attr w:name="ProductID" w:val="20 km"/>
        </w:smartTagPr>
        <w:smartTag w:uri="urn:schemas-microsoft-com:office:smarttags" w:element="metricconverter">
          <w:smartTagPr>
            <w:attr w:name="ProductID" w:val="20 km"/>
          </w:smartTagPr>
          <w:r w:rsidR="003268D4" w:rsidRPr="003268D4">
            <w:rPr>
              <w:rFonts w:ascii="Times New Roman" w:hAnsi="Times New Roman" w:cs="Times New Roman"/>
              <w:color w:val="000000" w:themeColor="text1"/>
              <w:sz w:val="24"/>
              <w:szCs w:val="24"/>
            </w:rPr>
            <w:t>20 km</w:t>
          </w:r>
        </w:smartTag>
        <w:r w:rsidR="00D72F7A">
          <w:rPr>
            <w:rFonts w:ascii="Times New Roman" w:hAnsi="Times New Roman" w:cs="Times New Roman"/>
            <w:color w:val="000000" w:themeColor="text1"/>
            <w:sz w:val="24"/>
            <w:szCs w:val="24"/>
          </w:rPr>
          <w:t xml:space="preserve">. </w:t>
        </w:r>
      </w:smartTag>
      <w:r w:rsidR="003268D4" w:rsidRPr="003268D4">
        <w:rPr>
          <w:rFonts w:ascii="Times New Roman" w:hAnsi="Times New Roman" w:cs="Times New Roman"/>
          <w:color w:val="000000" w:themeColor="text1"/>
          <w:sz w:val="24"/>
          <w:szCs w:val="24"/>
        </w:rPr>
        <w:t>Sa production de molécules d’eau est de l’ordre de 8.10</w:t>
      </w:r>
      <w:r w:rsidR="003268D4" w:rsidRPr="003268D4">
        <w:rPr>
          <w:rFonts w:ascii="Times New Roman" w:hAnsi="Times New Roman" w:cs="Times New Roman"/>
          <w:color w:val="000000" w:themeColor="text1"/>
          <w:sz w:val="24"/>
          <w:szCs w:val="24"/>
          <w:vertAlign w:val="superscript"/>
        </w:rPr>
        <w:t>30</w:t>
      </w:r>
      <w:r w:rsidR="003268D4" w:rsidRPr="003268D4">
        <w:rPr>
          <w:rFonts w:ascii="Times New Roman" w:hAnsi="Times New Roman" w:cs="Times New Roman"/>
          <w:color w:val="000000" w:themeColor="text1"/>
          <w:sz w:val="24"/>
          <w:szCs w:val="24"/>
        </w:rPr>
        <w:t xml:space="preserve"> molec/s à 1 UA.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En supposant une densité d’environ 0.5 tonne/m3, un rapport massique eau/poussière=1 et uniquement la perte en eau, la comète pourrait « survivre » 1107 années.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Comme elle ne développe une telle activité que quelques semaines lors de son approche du soleil, sa durée de vie est considérablement plus longue.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 xml:space="preserve">Greenberg a proposé un modèle qui décrit le noyau comme étant constitué par des particules de poussières interstellaires (principalement des silicates) recouvertes d’un manteau réfractaire de composés organiques synthétisés dans le nuage présolaire, puis de composés plus volatils </w:t>
      </w:r>
      <w:r w:rsidR="00D72F7A">
        <w:rPr>
          <w:rFonts w:ascii="Times New Roman" w:hAnsi="Times New Roman" w:cs="Times New Roman"/>
          <w:color w:val="000000" w:themeColor="text1"/>
          <w:sz w:val="24"/>
          <w:szCs w:val="24"/>
        </w:rPr>
        <w:t>condensés (principalement H2O)</w:t>
      </w:r>
      <w:r w:rsidR="003268D4" w:rsidRPr="003268D4">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3268D4" w:rsidRPr="003268D4">
        <w:rPr>
          <w:rFonts w:ascii="Times New Roman" w:hAnsi="Times New Roman" w:cs="Times New Roman"/>
          <w:color w:val="000000" w:themeColor="text1"/>
          <w:sz w:val="24"/>
          <w:szCs w:val="24"/>
        </w:rPr>
        <w:t>Mayo Greenberg a récemment estimé à partir d’observations et de résultats de simulations expérimentales les fractions massiques suivantes dans les noyaux : 26% de silicates, 23% de molécules organiques réfractaires, 9% de particules carbonées (HAP ?), les 42 % restant consistant en un mélange de molécules volatiles dominé par l’eau (80% en nombre)</w:t>
      </w:r>
      <w:r w:rsidR="00D72F7A">
        <w:rPr>
          <w:rFonts w:ascii="Times New Roman" w:hAnsi="Times New Roman" w:cs="Times New Roman"/>
          <w:color w:val="000000" w:themeColor="text1"/>
          <w:sz w:val="24"/>
          <w:szCs w:val="24"/>
        </w:rPr>
        <w:t>.</w:t>
      </w:r>
      <w:r w:rsidR="003268D4" w:rsidRPr="003268D4">
        <w:rPr>
          <w:rFonts w:ascii="Times New Roman" w:hAnsi="Times New Roman" w:cs="Times New Roman"/>
          <w:color w:val="000000" w:themeColor="text1"/>
          <w:sz w:val="24"/>
          <w:szCs w:val="24"/>
        </w:rPr>
        <w:t xml:space="preserve"> </w:t>
      </w:r>
    </w:p>
    <w:sectPr w:rsidR="006E0DCC" w:rsidSect="001857E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6559D">
        <w:separator/>
      </w:r>
    </w:p>
  </w:endnote>
  <w:endnote w:type="continuationSeparator" w:id="1">
    <w:p>
      <w:pPr>
        <w:spacing w:after="0" w:line="240" w:lineRule="auto"/>
      </w:pPr>
      <w:r w:rsidR="00A6559D">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268D4">
      <w:t>188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6559D">
        <w:separator/>
      </w:r>
    </w:p>
  </w:footnote>
  <w:footnote w:type="continuationSeparator" w:id="1">
    <w:p>
      <w:pPr>
        <w:spacing w:after="0" w:line="240" w:lineRule="auto"/>
      </w:pPr>
      <w:r w:rsidR="00A6559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51C65"/>
    <w:rsid w:val="001857ED"/>
    <w:rsid w:val="003268D4"/>
    <w:rsid w:val="00627779"/>
    <w:rsid w:val="006E0DCC"/>
    <w:rsid w:val="00751C65"/>
    <w:rsid w:val="00A6559D"/>
    <w:rsid w:val="00CF49DE"/>
    <w:rsid w:val="00D72F7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857E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268D4"/>
    <w:rPr>
      <w:strike w:val="0"/>
      <w:dstrike w:val="0"/>
      <w:color w:val="0112D7"/>
      <w:u w:val="none"/>
      <w:effect w:val="none"/>
    </w:rPr>
  </w:style>
  <w:style w:type="paragraph" w:styleId="NormalWeb">
    <w:name w:val="Normal (Web)"/>
    <w:basedOn w:val="Normal"/>
    <w:uiPriority w:val="99"/>
    <w:semiHidden/>
    <w:unhideWhenUsed/>
    <w:rsid w:val="003268D4"/>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3268D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268D4"/>
  </w:style>
  <w:style w:type="paragraph" w:styleId="Pieddepage">
    <w:name w:val="footer"/>
    <w:basedOn w:val="Normal"/>
    <w:link w:val="PieddepageCar"/>
    <w:uiPriority w:val="99"/>
    <w:semiHidden/>
    <w:unhideWhenUsed/>
    <w:rsid w:val="003268D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268D4"/>
  </w:style>
  <w:style w:type="paragraph" w:styleId="Textedebulles">
    <w:name w:val="Balloon Text"/>
    <w:basedOn w:val="Normal"/>
    <w:link w:val="TextedebullesCar"/>
    <w:uiPriority w:val="99"/>
    <w:semiHidden/>
    <w:unhideWhenUsed/>
    <w:rsid w:val="003268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268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10214047">
      <w:bodyDiv w:val="1"/>
      <w:marLeft w:val="0"/>
      <w:marRight w:val="0"/>
      <w:marTop w:val="0"/>
      <w:marBottom w:val="0"/>
      <w:divBdr>
        <w:top w:val="none" w:sz="0" w:space="0" w:color="auto"/>
        <w:left w:val="none" w:sz="0" w:space="0" w:color="auto"/>
        <w:bottom w:val="none" w:sz="0" w:space="0" w:color="auto"/>
        <w:right w:val="none" w:sz="0" w:space="0" w:color="auto"/>
      </w:divBdr>
    </w:div>
    <w:div w:id="71146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475</Words>
  <Characters>2618</Characters>
  <Application>Microsoft Office Word</Application>
  <DocSecurity>0</DocSecurity>
  <Lines>21</Lines>
  <Paragraphs>6</Paragraphs>
  <ScaleCrop>false</ScaleCrop>
  <Company> </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2006-08-19T11:14:00Z</dcterms:created>
  <dcterms:modified xsi:type="dcterms:W3CDTF">2006-08-20T09:19:00Z</dcterms:modified>
</cp:coreProperties>
</file>