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C1621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C16215">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16215">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Mais les particules les plus légères vont pénétrer beaucoup plus loin, à des altitudes supérieures à </w:t>
      </w:r>
      <w:smartTag w:uri="urn:schemas-microsoft-com:office:smarttags" w:element="metricconverter">
        <w:smartTagPr>
          <w:attr w:name="ProductID" w:val="20 km"/>
        </w:smartTagPr>
        <w:r w:rsidR="00C16215">
          <w:rPr>
            <w:rFonts w:ascii="Times New Roman" w:hAnsi="Times New Roman" w:cs="Times New Roman"/>
            <w:color w:val="000000" w:themeColor="text1"/>
            <w:sz w:val="24"/>
            <w:szCs w:val="24"/>
          </w:rPr>
          <w:t>20 km</w:t>
        </w:r>
      </w:smartTag>
      <w:r w:rsidR="00C16215">
        <w:rPr>
          <w:rFonts w:ascii="Times New Roman" w:hAnsi="Times New Roman" w:cs="Times New Roman"/>
          <w:color w:val="000000" w:themeColor="text1"/>
          <w:sz w:val="24"/>
          <w:szCs w:val="24"/>
        </w:rPr>
        <w:t>, et y rester pour des mois, voire des années. Les courants stratosphériques se chargeront ensuite de la diffusion de ces matériaux à travers le monde.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center"/>
        <w:rPr>
          <w:rFonts w:ascii="Times New Roman" w:hAnsi="Times New Roman" w:cs="Times New Roman"/>
          <w:color w:val="000000" w:themeColor="text1"/>
          <w:sz w:val="24"/>
          <w:szCs w:val="24"/>
          <w:u w:val="single"/>
        </w:rPr>
      </w:pPr>
      <w:r w:rsidR="00C16215">
        <w:rPr>
          <w:rFonts w:ascii="Times New Roman" w:hAnsi="Times New Roman" w:cs="Times New Roman"/>
          <w:color w:val="000000" w:themeColor="text1"/>
          <w:sz w:val="24"/>
          <w:szCs w:val="24"/>
          <w:u w:val="single"/>
        </w:rPr>
        <w:t>III Retombées radioactives</w:t>
      </w:r>
    </w:p>
    <w:p>
      <w:pPr>
        <w:spacing w:after="0" w:line="240" w:lineRule="auto"/>
        <w:ind w:firstLine="708"/>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Les retombées locales et mondiales dépendent d’un ensemble de facteurs tels que le type de l’arme, sa puissance, l’altitude et la latitude de la détonation, le moment dans l’année, et les conditions climatiques locales. Toutes les armes nucléaires actuelles nécessitent la séparation des éléments lourds comme l’uranium et le plutonium. </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L’énergie relâchée par le processus de fission est des millions de fois plus grand, à poids équivalent, que la réaction chimique dégageant le plus d’énergie. </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La plus petite arme nucléaire, de l’ordre du kilotonne, se base uniquement sur l’énergie relâchée dans le processus de fission, comme les premières bombes qui dévastèrent Hiroshima et Nagasaki en 1945. </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Les charges nucléaires plus importantes dérivent une partie substantielle de leur force explosive de la fusion de formes lourdes de l’hydrogène (deutérium et tritium). Comme il n’y a virtuellement pas de limite au volume des matériaux de fusion dans une arme, et ces matériaux étant moins coûteux que les matières fissiles, l’utilisation de la fusion dans les armes thermonucléaires "bombes H" a apporté une augmentation radicale du pouvoir de destruction. </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Néanmoins, le processus de fission est toujours nécessaire pour atteindre les conditions de haute température et pression nécessaires au déclenchement de la réaction de fusion de l’hydrogène. Ainsi, toute détonation nucléaire produit des fragments radioactifs de fission d’éléments lourds, ajoutant un élément de radiation dans le processus de fusion.</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Les fragments de la fission d’éléments lourds les plus importants sont les radioéléments (atomes radioactifs) qui se dégradent en émettant des particules gamma. La période (durée de demi-vie) de ces éléments peut aller de quelques jours à plusieurs milliers d’années. Un facteur important dans la contamination, est le fait que ces particules pénètrent dans le corps par la respiration, l’alimentation, etc. et s’intègrent dans les tissus. Si cela se produit, les risques de dommages biologiques par les radiations ionisantes sont multipliés.</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La menace la plus sérieuse est probablement celle du Césium 137, un émetteur de radiations gamma avec une période de 30 ans. </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C’est une source de radiation majeure dans les retombées nucléaires, et comme il joue un rôle dans la chimie du potassium, il est facilement absorbé dans le sang des animaux et des humains et peut être incorporé aux tissus.</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D’autres contaminants sont le Strontium 90, avec une période de 28 ans, et l’Iode 131 avec une période de seulement 8 jours. </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Le Strontium 90 suit la chimie du calcium, il est ainsi incorporé dans les os et les dents, spécialement chez les jeunes enfants qui ont reçu du lait de vaches ayant absorbé des fourrages contaminés. </w:t>
      </w:r>
    </w:p>
    <w:p>
      <w:pPr>
        <w:spacing w:after="0" w:line="240" w:lineRule="auto"/>
        <w:ind w:firstLine="708"/>
        <w:jc w:val="both"/>
        <w:rPr>
          <w:rFonts w:ascii="Times New Roman" w:hAnsi="Times New Roman" w:cs="Times New Roman"/>
          <w:color w:val="000000" w:themeColor="text1"/>
          <w:sz w:val="24"/>
          <w:szCs w:val="24"/>
        </w:rPr>
      </w:pPr>
      <w:r w:rsidR="00C16215">
        <w:rPr>
          <w:rFonts w:ascii="Times New Roman" w:hAnsi="Times New Roman" w:cs="Times New Roman"/>
          <w:color w:val="000000" w:themeColor="text1"/>
          <w:sz w:val="24"/>
          <w:szCs w:val="24"/>
        </w:rPr>
        <w:t xml:space="preserve">L’iode 131 est une menace similaire pour les enfants à cause de sa concentration dans la glande thyroïde. </w:t>
      </w:r>
    </w:p>
    <w:sectPr w:rsidR="00685B32" w:rsidSect="007970E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C5C61">
        <w:separator/>
      </w:r>
    </w:p>
  </w:endnote>
  <w:endnote w:type="continuationSeparator" w:id="1">
    <w:p>
      <w:pPr>
        <w:spacing w:after="0" w:line="240" w:lineRule="auto"/>
      </w:pPr>
      <w:r w:rsidR="001C5C6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16215">
      <w:t>94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C5C61">
        <w:separator/>
      </w:r>
    </w:p>
  </w:footnote>
  <w:footnote w:type="continuationSeparator" w:id="1">
    <w:p>
      <w:pPr>
        <w:spacing w:after="0" w:line="240" w:lineRule="auto"/>
      </w:pPr>
      <w:r w:rsidR="001C5C6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EBA701B"/>
    <w:multiLevelType w:val="hybridMultilevel"/>
    <w:tmpl w:val="506211EC"/>
    <w:lvl w:ilvl="0" w:tplc="BA6C5794">
      <w:numFmt w:val="bullet"/>
      <w:lvlText w:val="-"/>
      <w:lvlJc w:val="left"/>
      <w:pPr>
        <w:ind w:left="1068" w:hanging="360"/>
      </w:pPr>
      <w:rPr>
        <w:rFonts w:ascii="Calibri" w:eastAsiaTheme="minorEastAsia" w:hAnsi="Calibri" w:cstheme="minorBidi" w:hint="default"/>
        <w:color w:val="auto"/>
        <w:sz w:val="2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C16215"/>
    <w:rsid w:val="001C5C61"/>
    <w:rsid w:val="00321D17"/>
    <w:rsid w:val="003E74DF"/>
    <w:rsid w:val="00685B32"/>
    <w:rsid w:val="007970E1"/>
    <w:rsid w:val="00951579"/>
    <w:rsid w:val="00C16215"/>
    <w:rsid w:val="00E843C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970E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C16215"/>
    <w:pPr>
      <w:ind w:left="720"/>
      <w:contextualSpacing/>
    </w:pPr>
  </w:style>
  <w:style w:type="paragraph" w:styleId="En-tte">
    <w:name w:val="header"/>
    <w:basedOn w:val="Normal"/>
    <w:link w:val="En-tteCar"/>
    <w:uiPriority w:val="99"/>
    <w:semiHidden/>
    <w:unhideWhenUsed/>
    <w:rsid w:val="00C1621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16215"/>
  </w:style>
  <w:style w:type="paragraph" w:styleId="Pieddepage">
    <w:name w:val="footer"/>
    <w:basedOn w:val="Normal"/>
    <w:link w:val="PieddepageCar"/>
    <w:uiPriority w:val="99"/>
    <w:semiHidden/>
    <w:unhideWhenUsed/>
    <w:rsid w:val="00C1621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16215"/>
  </w:style>
  <w:style w:type="paragraph" w:styleId="Textedebulles">
    <w:name w:val="Balloon Text"/>
    <w:basedOn w:val="Normal"/>
    <w:link w:val="TextedebullesCar"/>
    <w:uiPriority w:val="99"/>
    <w:semiHidden/>
    <w:unhideWhenUsed/>
    <w:rsid w:val="00C1621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62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05399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487</Words>
  <Characters>2682</Characters>
  <Application>Microsoft Office Word</Application>
  <DocSecurity>0</DocSecurity>
  <Lines>22</Lines>
  <Paragraphs>6</Paragraphs>
  <ScaleCrop>false</ScaleCrop>
  <Company> </Company>
  <LinksUpToDate>false</LinksUpToDate>
  <CharactersWithSpaces>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2006-07-04T19:11:00Z</dcterms:created>
  <dcterms:modified xsi:type="dcterms:W3CDTF">2006-08-20T20:07:00Z</dcterms:modified>
</cp:coreProperties>
</file>