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9E0" w:rsidRDefault="00FE39E0" w:rsidP="00FE39E0">
      <w:r>
        <w:t xml:space="preserve">  </w:t>
      </w:r>
    </w:p>
    <w:p w:rsidR="00FE39E0" w:rsidRPr="00FE39E0" w:rsidRDefault="00FE39E0" w:rsidP="00FE39E0">
      <w:pPr>
        <w:spacing w:after="0" w:line="360" w:lineRule="atLeast"/>
        <w:rPr>
          <w:rFonts w:ascii="Verdana" w:eastAsia="Times New Roman" w:hAnsi="Verdana" w:cs="Arial"/>
          <w:color w:val="333333"/>
          <w:sz w:val="18"/>
          <w:szCs w:val="18"/>
          <w:lang w:eastAsia="fr-FR"/>
        </w:rPr>
      </w:pPr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Page 1 of 4 FEE AGREEMENT BETWEEN: The association of </w:t>
      </w:r>
      <w:proofErr w:type="spellStart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lawyers</w:t>
      </w:r>
      <w:proofErr w:type="spellEnd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Laurence Sophie ROY-CLEMANDOT &amp; </w:t>
      </w:r>
      <w:proofErr w:type="spellStart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Valerie</w:t>
      </w:r>
      <w:proofErr w:type="spellEnd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SCHNEIDER-</w:t>
      </w:r>
      <w:proofErr w:type="spellStart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macou</w:t>
      </w:r>
      <w:proofErr w:type="spellEnd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, </w:t>
      </w:r>
      <w:proofErr w:type="spellStart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lawyers</w:t>
      </w:r>
      <w:proofErr w:type="spellEnd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at the Court of </w:t>
      </w:r>
      <w:proofErr w:type="spellStart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Appeal</w:t>
      </w:r>
      <w:proofErr w:type="spellEnd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PARIS, </w:t>
      </w:r>
      <w:proofErr w:type="spellStart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remaining</w:t>
      </w:r>
      <w:proofErr w:type="spellEnd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66 rue de la Pompe </w:t>
      </w:r>
      <w:proofErr w:type="spellStart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in</w:t>
      </w:r>
      <w:proofErr w:type="spellEnd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75116 PARIS </w:t>
      </w:r>
      <w:proofErr w:type="spellStart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hereinafter</w:t>
      </w:r>
      <w:proofErr w:type="spellEnd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Advocate</w:t>
      </w:r>
      <w:proofErr w:type="spellEnd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one hand AND Richard </w:t>
      </w:r>
      <w:proofErr w:type="spellStart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Bouskila</w:t>
      </w:r>
      <w:proofErr w:type="spellEnd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born</w:t>
      </w:r>
      <w:proofErr w:type="spellEnd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December</w:t>
      </w:r>
      <w:proofErr w:type="spellEnd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17, 1982 in PARIS 18th, of French </w:t>
      </w:r>
      <w:proofErr w:type="spellStart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nationality</w:t>
      </w:r>
      <w:proofErr w:type="spellEnd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and </w:t>
      </w:r>
      <w:proofErr w:type="spellStart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remaining</w:t>
      </w:r>
      <w:proofErr w:type="spellEnd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9 Cours de l'Ile Seguin BAT 163-92100 Boulogne Billancourt, </w:t>
      </w:r>
      <w:proofErr w:type="spellStart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following</w:t>
      </w:r>
      <w:proofErr w:type="spellEnd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the Client on the </w:t>
      </w:r>
      <w:proofErr w:type="spellStart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other</w:t>
      </w:r>
      <w:proofErr w:type="spellEnd"/>
      <w:r w:rsidRPr="00FE39E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hand, </w:t>
      </w:r>
    </w:p>
    <w:p w:rsidR="00FE39E0" w:rsidRDefault="00FE39E0" w:rsidP="00FE39E0">
      <w:pPr>
        <w:rPr>
          <w:rFonts w:ascii="Arial" w:eastAsia="Times New Roman" w:hAnsi="Arial" w:cs="Arial"/>
          <w:i/>
          <w:iCs/>
          <w:color w:val="777777"/>
          <w:sz w:val="17"/>
          <w:szCs w:val="17"/>
          <w:lang w:eastAsia="fr-FR"/>
        </w:rPr>
      </w:pPr>
    </w:p>
    <w:p w:rsidR="00FE39E0" w:rsidRDefault="000D5D30" w:rsidP="00FE39E0">
      <w:r>
        <w:rPr>
          <w:rFonts w:ascii="Verdana" w:hAnsi="Verdana" w:cs="Arial"/>
          <w:color w:val="333333"/>
          <w:sz w:val="18"/>
          <w:szCs w:val="18"/>
        </w:rPr>
        <w:t xml:space="preserve">IT IS POINTED AND AGREED AS FOLLOWS: Richard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Bouskila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sought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the assistance of the Association of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Lawyers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Sophie Laurence ROY- CLEMANDOT &amp;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Valerie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SCHNEIDER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macou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as part of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its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difficulty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with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Ms. Nolwenn Leroy and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his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family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.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difficulties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relate to the fate of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poems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/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songs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written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by Richard </w:t>
      </w:r>
      <w:proofErr w:type="spellStart"/>
      <w:proofErr w:type="gramStart"/>
      <w:r>
        <w:rPr>
          <w:rFonts w:ascii="Verdana" w:hAnsi="Verdana" w:cs="Arial"/>
          <w:color w:val="333333"/>
          <w:sz w:val="18"/>
          <w:szCs w:val="18"/>
        </w:rPr>
        <w:t>Bouskila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,</w:t>
      </w:r>
      <w:proofErr w:type="gram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plagiarized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,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performed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without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authorization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Mr.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Bouskila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. Mr.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Bouskila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manage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accordingly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the Association of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Lawyers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Sophie Laurence ROY &amp;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Valerie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SCHNEIDER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macou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actions and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procedures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for the recognition of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their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rights.</w:t>
      </w:r>
      <w:r w:rsidR="00FE39E0">
        <w:t>ARTICLE</w:t>
      </w:r>
      <w:proofErr w:type="spellEnd"/>
      <w:r w:rsidR="00FE39E0">
        <w:t xml:space="preserve"> 1 :  </w:t>
      </w:r>
    </w:p>
    <w:p w:rsidR="000D5D30" w:rsidRDefault="000D5D30" w:rsidP="00FE39E0">
      <w:pPr>
        <w:rPr>
          <w:rFonts w:ascii="Verdana" w:hAnsi="Verdana" w:cs="Arial"/>
          <w:color w:val="333333"/>
          <w:sz w:val="18"/>
          <w:szCs w:val="18"/>
        </w:rPr>
      </w:pPr>
      <w:proofErr w:type="spellStart"/>
      <w:r>
        <w:rPr>
          <w:rFonts w:ascii="Verdana" w:hAnsi="Verdana" w:cs="Arial"/>
          <w:color w:val="333333"/>
          <w:sz w:val="18"/>
          <w:szCs w:val="18"/>
        </w:rPr>
        <w:t>Fees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payable to the Association of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Lawyers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Sophie Laurence ROY- CLEMANDOT &amp;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Valerie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SCHNEIDER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macou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are 300 euros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excluding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VAT per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hour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. In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event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that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the case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involves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an attorney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work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late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at night (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after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20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hours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) or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during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weekend or </w:t>
      </w:r>
      <w:proofErr w:type="spellStart"/>
      <w:proofErr w:type="gramStart"/>
      <w:r>
        <w:rPr>
          <w:rFonts w:ascii="Verdana" w:hAnsi="Verdana" w:cs="Arial"/>
          <w:color w:val="333333"/>
          <w:sz w:val="18"/>
          <w:szCs w:val="18"/>
        </w:rPr>
        <w:t>holiday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,</w:t>
      </w:r>
      <w:proofErr w:type="gramEnd"/>
      <w:r>
        <w:rPr>
          <w:rFonts w:ascii="Verdana" w:hAnsi="Verdana" w:cs="Arial"/>
          <w:color w:val="333333"/>
          <w:sz w:val="18"/>
          <w:szCs w:val="18"/>
        </w:rPr>
        <w:t xml:space="preserve">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hourly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rate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will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be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increased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by 15 %.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When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several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lawyers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of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working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 w:cs="Arial"/>
          <w:color w:val="333333"/>
          <w:sz w:val="18"/>
          <w:szCs w:val="18"/>
        </w:rPr>
        <w:t>together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,</w:t>
      </w:r>
      <w:proofErr w:type="gramEnd"/>
      <w:r>
        <w:rPr>
          <w:rFonts w:ascii="Verdana" w:hAnsi="Verdana" w:cs="Arial"/>
          <w:color w:val="333333"/>
          <w:sz w:val="18"/>
          <w:szCs w:val="18"/>
        </w:rPr>
        <w:t xml:space="preserve"> the time of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each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lawyer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is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counted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only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if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it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is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required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by a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particular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area of </w:t>
      </w:r>
      <w:r>
        <w:rPr>
          <w:rFonts w:ascii="Arial" w:hAnsi="Arial" w:cs="Arial"/>
          <w:color w:val="333333"/>
          <w:sz w:val="18"/>
          <w:szCs w:val="18"/>
        </w:rPr>
        <w:t>​​</w:t>
      </w:r>
      <w:r>
        <w:rPr>
          <w:rFonts w:ascii="Verdana" w:hAnsi="Verdana" w:cs="Arial"/>
          <w:color w:val="333333"/>
          <w:sz w:val="18"/>
          <w:szCs w:val="18"/>
        </w:rPr>
        <w:t>expertise.</w:t>
      </w:r>
    </w:p>
    <w:p w:rsidR="00FE39E0" w:rsidRDefault="00FE39E0" w:rsidP="00FE39E0">
      <w:r>
        <w:t xml:space="preserve">  </w:t>
      </w:r>
    </w:p>
    <w:p w:rsidR="000D5D30" w:rsidRPr="000D5D30" w:rsidRDefault="000D5D30" w:rsidP="000D5D30">
      <w:pPr>
        <w:spacing w:after="0" w:line="360" w:lineRule="atLeast"/>
        <w:rPr>
          <w:rFonts w:ascii="Verdana" w:eastAsia="Times New Roman" w:hAnsi="Verdana" w:cs="Arial"/>
          <w:color w:val="333333"/>
          <w:sz w:val="18"/>
          <w:szCs w:val="18"/>
          <w:lang w:eastAsia="fr-FR"/>
        </w:rPr>
      </w:pPr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Page 2 of 4 ARTICLE 2: This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fee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covers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all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procedures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completed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under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proofErr w:type="gram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advice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,</w:t>
      </w:r>
      <w:proofErr w:type="gram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negotiations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or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procedures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,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such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as •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Appointments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and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telephone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interviews •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Examination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of the file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based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on the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evidence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,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texts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and jurisprudence applicable •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Research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•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Development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of communication •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Drawing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parts of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letters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and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draft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letters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•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Advice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and assistance •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Drafting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and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development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paperwork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or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contracts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•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Preparing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and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conducting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hearings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. </w:t>
      </w:r>
    </w:p>
    <w:p w:rsidR="000D5D30" w:rsidRDefault="000D5D30" w:rsidP="000D5D30">
      <w:pPr>
        <w:rPr>
          <w:rFonts w:ascii="Arial" w:eastAsia="Times New Roman" w:hAnsi="Arial" w:cs="Arial"/>
          <w:i/>
          <w:iCs/>
          <w:color w:val="777777"/>
          <w:sz w:val="17"/>
          <w:szCs w:val="17"/>
          <w:lang w:eastAsia="fr-FR"/>
        </w:rPr>
      </w:pPr>
    </w:p>
    <w:p w:rsidR="000D5D30" w:rsidRDefault="000D5D30" w:rsidP="00FE39E0">
      <w:pPr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 xml:space="preserve">ARTICLE 3: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These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fees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do not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cover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costs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and court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costs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or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expenses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paid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to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outside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stakeholders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to Cabinet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will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be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billed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directly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to the Customer or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which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shall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be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reimbursed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to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lawyer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.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These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expenses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can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be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(not exhaustive ) -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ushers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Fees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-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Fees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translators or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interpreters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-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lawyers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in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proceedings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outside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Paris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where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representation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by a local attorney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fees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is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required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, or the Court of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Appeal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-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Fees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lawyers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for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advice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(if cassation ) - Shipping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cost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(DHL or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similar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, carriers ... ). </w:t>
      </w:r>
    </w:p>
    <w:p w:rsidR="000D5D30" w:rsidRPr="000D5D30" w:rsidRDefault="000D5D30" w:rsidP="000D5D30">
      <w:pPr>
        <w:spacing w:after="0" w:line="360" w:lineRule="atLeast"/>
        <w:rPr>
          <w:rFonts w:ascii="Verdana" w:eastAsia="Times New Roman" w:hAnsi="Verdana" w:cs="Arial"/>
          <w:color w:val="333333"/>
          <w:sz w:val="18"/>
          <w:szCs w:val="18"/>
          <w:lang w:eastAsia="fr-FR"/>
        </w:rPr>
      </w:pP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With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regard to the translations,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it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is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recalled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that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in the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proceedings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, all items must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be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in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either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French or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accompanied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by a translation in French.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Failing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to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be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in French or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accompanied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by a translation in </w:t>
      </w:r>
      <w:proofErr w:type="gram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French ,</w:t>
      </w:r>
      <w:proofErr w:type="gram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such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parts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may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be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rejected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debates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which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means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that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the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judge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will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rule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without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taking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them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into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consideration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. Parts and translations must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be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communicated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to the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other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party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within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a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reasonable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time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before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the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hearing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to respect the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adversarial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principle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.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We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recommend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that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all translations are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performed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by a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professional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translator and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we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can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assist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in the establishment and management of translations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from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that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professional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. </w:t>
      </w:r>
    </w:p>
    <w:p w:rsidR="00FE39E0" w:rsidRDefault="00FE39E0" w:rsidP="000D5D30">
      <w:r>
        <w:t xml:space="preserve">  </w:t>
      </w:r>
    </w:p>
    <w:p w:rsidR="000D5D30" w:rsidRPr="000D5D30" w:rsidRDefault="000D5D30" w:rsidP="000D5D30">
      <w:pPr>
        <w:spacing w:after="0" w:line="360" w:lineRule="atLeast"/>
        <w:rPr>
          <w:rFonts w:ascii="Verdana" w:eastAsia="Times New Roman" w:hAnsi="Verdana" w:cs="Arial"/>
          <w:color w:val="333333"/>
          <w:sz w:val="18"/>
          <w:szCs w:val="18"/>
          <w:lang w:eastAsia="fr-FR"/>
        </w:rPr>
      </w:pPr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Page 3 of 4 ARTICLE 4: This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fee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will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be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paid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by </w:t>
      </w:r>
      <w:proofErr w:type="gram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provision ,</w:t>
      </w:r>
      <w:proofErr w:type="gram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upon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opening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the file,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because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of provisions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taking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into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account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the importance of the case and the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procedures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to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be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implemented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, a minimum of 6,000 euros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excluding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VAT, or 7,200 euros. </w:t>
      </w:r>
    </w:p>
    <w:p w:rsidR="000D5D30" w:rsidRDefault="000D5D30" w:rsidP="000D5D30">
      <w:pPr>
        <w:rPr>
          <w:rFonts w:ascii="Arial" w:eastAsia="Times New Roman" w:hAnsi="Arial" w:cs="Arial"/>
          <w:i/>
          <w:iCs/>
          <w:color w:val="777777"/>
          <w:sz w:val="17"/>
          <w:szCs w:val="17"/>
          <w:lang w:eastAsia="fr-FR"/>
        </w:rPr>
      </w:pPr>
    </w:p>
    <w:p w:rsidR="000D5D30" w:rsidRDefault="000D5D30" w:rsidP="00FE39E0">
      <w:pPr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lastRenderedPageBreak/>
        <w:t xml:space="preserve">Provisions are payable.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Each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month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, a record of the time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spent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on the case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will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be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addressed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by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Lawyer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to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enable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the Customer to monitor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progress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in the use of the provision.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When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this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provision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is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exhausted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, a new provision of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same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amount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will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be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charged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. An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accurate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pre-estimate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the time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it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will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happen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is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difficult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to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achieve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especially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in light of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unforeseen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events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in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beginning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of the file. In case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lawyer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would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 w:cs="Arial"/>
          <w:color w:val="333333"/>
          <w:sz w:val="18"/>
          <w:szCs w:val="18"/>
        </w:rPr>
        <w:t>still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,</w:t>
      </w:r>
      <w:proofErr w:type="gramEnd"/>
      <w:r>
        <w:rPr>
          <w:rFonts w:ascii="Verdana" w:hAnsi="Verdana" w:cs="Arial"/>
          <w:color w:val="333333"/>
          <w:sz w:val="18"/>
          <w:szCs w:val="18"/>
        </w:rPr>
        <w:t xml:space="preserve"> at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request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of the Customer a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forecast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of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amount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of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fees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,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it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will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being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for guidance. </w:t>
      </w:r>
    </w:p>
    <w:p w:rsidR="000D5D30" w:rsidRDefault="000D5D30" w:rsidP="00FE39E0">
      <w:pPr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 xml:space="preserve">ARTICLE 5: In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event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that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these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fees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should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not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be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paid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in cash , the Association of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Lawyers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Sophie Laurence ROY &amp;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Valerie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SCHNEIDER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macou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reserves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the right •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Whether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to suspend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execution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of the mission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what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lawyer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will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inform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the Customer in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drawing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attention to the possible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consequences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of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this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suspension, •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is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to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make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this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case to the Client.</w:t>
      </w:r>
    </w:p>
    <w:p w:rsidR="000D5D30" w:rsidRDefault="000D5D30" w:rsidP="00FE39E0">
      <w:pPr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 xml:space="preserve">ARTICLE 6: In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event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that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the Client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wishes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to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relinquish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Advocate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his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/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her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file / s and / s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transfer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to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another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lawyer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, the Customer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shall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promptly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pay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fees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still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gramStart"/>
      <w:r>
        <w:rPr>
          <w:rFonts w:ascii="Verdana" w:hAnsi="Verdana" w:cs="Arial"/>
          <w:color w:val="333333"/>
          <w:sz w:val="18"/>
          <w:szCs w:val="18"/>
        </w:rPr>
        <w:t>due ,</w:t>
      </w:r>
      <w:proofErr w:type="gram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past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time and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pre-divestiture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not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yet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charged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, and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costs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and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expenses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for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procedures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previously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performed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.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Any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dispute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concerning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amount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and collection of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fees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costs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and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expenses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of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Advocate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can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not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be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resolved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failing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agreement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between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the parties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that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by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using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procedure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under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Articles 174 and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following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of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Decree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No. 91- 1197 of 27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November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1991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organizing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legal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profession.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president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of the Bar Association in the Court of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Appeal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of Paris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is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entered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at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request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of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either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party</w:t>
      </w:r>
    </w:p>
    <w:p w:rsidR="00FE39E0" w:rsidRDefault="00FE39E0" w:rsidP="00FE39E0">
      <w:r>
        <w:t xml:space="preserve">  </w:t>
      </w:r>
    </w:p>
    <w:p w:rsidR="000D5D30" w:rsidRPr="000D5D30" w:rsidRDefault="000D5D30" w:rsidP="000D5D30">
      <w:pPr>
        <w:spacing w:after="0" w:line="360" w:lineRule="atLeast"/>
        <w:rPr>
          <w:rFonts w:ascii="Verdana" w:eastAsia="Times New Roman" w:hAnsi="Verdana" w:cs="Arial"/>
          <w:color w:val="333333"/>
          <w:sz w:val="18"/>
          <w:szCs w:val="18"/>
          <w:lang w:eastAsia="fr-FR"/>
        </w:rPr>
      </w:pPr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Page 4 of 4 It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is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expressly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agreed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between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the parties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that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in case of dispute, the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amount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of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fees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,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costs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and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expenses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computed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as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provided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in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this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Agreement and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outstanding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at Cabinet , must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be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deposited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in the hands of Mr.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President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of the Bar of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lawyers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in the Court of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Appeal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of Paris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pending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a final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decision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determining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the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fees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,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costs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and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disbursements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. PARIS made </w:t>
      </w:r>
      <w:r w:rsidRPr="000D5D30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​​</w:t>
      </w:r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in the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two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original copies. Richard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Bouskila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The association of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lawyers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Sophie- Laurence ROY- CLEMANDOT &amp;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Valerie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SCHNEIDER- </w:t>
      </w:r>
      <w:proofErr w:type="spellStart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macou</w:t>
      </w:r>
      <w:proofErr w:type="spellEnd"/>
      <w:r w:rsidRPr="000D5D30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</w:p>
    <w:p w:rsidR="00B5745C" w:rsidRDefault="000D5D30" w:rsidP="000D5D30">
      <w:bookmarkStart w:id="0" w:name="_GoBack"/>
      <w:bookmarkEnd w:id="0"/>
    </w:p>
    <w:sectPr w:rsidR="00B57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E0"/>
    <w:rsid w:val="000D5D30"/>
    <w:rsid w:val="00AC6BE0"/>
    <w:rsid w:val="00E472DD"/>
    <w:rsid w:val="00FE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7CAB9-59FD-4B41-AE99-3B47C2B9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72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8958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78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459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55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457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7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223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9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450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825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2014-09-26T17:52:00Z</dcterms:created>
  <dcterms:modified xsi:type="dcterms:W3CDTF">2014-09-26T18:01:00Z</dcterms:modified>
</cp:coreProperties>
</file>