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424FB">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424FB">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424FB">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2E7459">
        <w:rPr>
          <w:rFonts w:ascii="Times New Roman" w:hAnsi="Times New Roman" w:cs="Times New Roman"/>
          <w:sz w:val="24"/>
          <w:szCs w:val="24"/>
        </w:rPr>
        <w:t xml:space="preserve">Depuis lors, cette nomenclature ne peut être modifiée ou élargie sans l'accord de l'UAI. </w:t>
      </w:r>
    </w:p>
    <w:p>
      <w:pPr>
        <w:spacing w:after="0" w:line="240" w:lineRule="auto"/>
        <w:ind w:firstLine="708"/>
        <w:jc w:val="both"/>
        <w:rPr>
          <w:rFonts w:ascii="Times New Roman" w:hAnsi="Times New Roman" w:cs="Times New Roman"/>
          <w:sz w:val="24"/>
          <w:szCs w:val="24"/>
        </w:rPr>
      </w:pPr>
      <w:r w:rsidR="002E7459">
        <w:rPr>
          <w:rFonts w:ascii="Times New Roman" w:hAnsi="Times New Roman" w:cs="Times New Roman"/>
          <w:sz w:val="24"/>
          <w:szCs w:val="24"/>
        </w:rPr>
        <w:t xml:space="preserve">Dans les années 1960, cette nomenclature dut être étendue à la désignation des formations désormais connues de la face cachée. </w:t>
      </w:r>
    </w:p>
    <w:p>
      <w:pPr>
        <w:spacing w:after="0" w:line="240" w:lineRule="auto"/>
        <w:ind w:firstLine="708"/>
        <w:jc w:val="both"/>
        <w:rPr>
          <w:rFonts w:ascii="Times New Roman" w:hAnsi="Times New Roman" w:cs="Times New Roman"/>
          <w:sz w:val="24"/>
          <w:szCs w:val="24"/>
        </w:rPr>
      </w:pPr>
      <w:r w:rsidR="002E7459">
        <w:rPr>
          <w:rFonts w:ascii="Times New Roman" w:hAnsi="Times New Roman" w:cs="Times New Roman"/>
          <w:sz w:val="24"/>
          <w:szCs w:val="24"/>
        </w:rPr>
        <w:t xml:space="preserve">Au XIV Congrès de l'UAI à Brighton en 1970, 513 nouveaux noms furent retenus, la plupart pour la face cachée, certains pour la face visible. </w:t>
      </w:r>
    </w:p>
    <w:p>
      <w:pPr>
        <w:spacing w:after="0" w:line="240" w:lineRule="auto"/>
        <w:ind w:firstLine="708"/>
        <w:jc w:val="both"/>
        <w:rPr>
          <w:rFonts w:ascii="Times New Roman" w:hAnsi="Times New Roman" w:cs="Times New Roman"/>
          <w:sz w:val="24"/>
          <w:szCs w:val="24"/>
        </w:rPr>
      </w:pPr>
      <w:r w:rsidR="002E7459">
        <w:rPr>
          <w:rFonts w:ascii="Times New Roman" w:hAnsi="Times New Roman" w:cs="Times New Roman"/>
          <w:sz w:val="24"/>
          <w:szCs w:val="24"/>
        </w:rPr>
        <w:t>Pour la première fois et à titre exceptionnel, l'UAI décida d'immortaliser des personnages célèbres encore en vie, à savoir six astronautes américains et six cosmonautes soviétiques.</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Au XV Congrès de l'UAI à Sydney en 1973, la nomenclature fit l'objet d'une importante réforme, très, controversée.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Depuis 1935, les cratères secondaires (accompagnant de plus grands cratères) étaient officiellement désignés sous le nom du cratère principal suivi d'une majuscule latine (ainsi Mösting A, près de Mösting), les collines, dômes, entre autres, par le nom de la formation principale la plus proche suivi d'une minuscule de l'alphabet grec, et les rainures par le nom du relief voisin prédominant suivi d'un chiffre romain. </w:t>
      </w:r>
    </w:p>
    <w:p>
      <w:pPr>
        <w:spacing w:after="0" w:line="240" w:lineRule="auto"/>
        <w:ind w:left="709" w:hanging="1"/>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Ce système fut supprimé en 1973.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Il fut en outre décidé que les cratères secondaires devaient recevoir des désignations spécifiques. Certains petits cratères portent même des prénoms masculins et féminins.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En fait, cette décision répondait à un besoin bien précis: celui de retrouver, sur les feuilles individuelles d'une carte détaillée de la Lune au 1 : 250000 (cartes photographiques américaines LTO/NASA) le nom d'au moins une formation.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Des milliers de noms nouveaux devraient donc progressivement apparaître sur les cartes lunaires. De 1973 à 1988, 138 cratères ont ainsi reçu une désignation spécifique (Manilius A, par exemple, a été rebaptisé Bowen).</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En </w:t>
      </w:r>
      <w:smartTag w:uri="urn:schemas-microsoft-com:office:smarttags" w:element="metricconverter">
        <w:smartTagPr>
          <w:attr w:name="ProductID" w:val="1976, l"/>
        </w:smartTagPr>
        <w:r w:rsidR="00A424FB" w:rsidRPr="00A424FB">
          <w:rPr>
            <w:rFonts w:ascii="Times New Roman" w:hAnsi="Times New Roman" w:cs="Times New Roman"/>
            <w:sz w:val="24"/>
            <w:szCs w:val="24"/>
          </w:rPr>
          <w:t>1976, l</w:t>
        </w:r>
      </w:smartTag>
      <w:r w:rsidR="00A424FB" w:rsidRPr="00A424FB">
        <w:rPr>
          <w:rFonts w:ascii="Times New Roman" w:hAnsi="Times New Roman" w:cs="Times New Roman"/>
          <w:sz w:val="24"/>
          <w:szCs w:val="24"/>
        </w:rPr>
        <w:t xml:space="preserve">'UAI revint sur sa décision de supprimer totalement les premières désignations et statua qu'elles devaient être conservées entre parenthèses à côté des nouveaux noms.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Ceci afin d'assurer une certaine continuité dans la littérature sélénographique et d'éviter de dérouter les lecteurs de cartes ou d'ouvrages antérieurs et postérieurs à la réforme.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 xml:space="preserve">En 1988, 6231 nouveaux noms de cratères avaient été homologués: 801 portent des noms propres et 5430 sont désignés sous le nom du cratère principal suivi d'une majuscule latine. </w:t>
      </w:r>
    </w:p>
    <w:p>
      <w:pPr>
        <w:spacing w:after="0" w:line="240" w:lineRule="auto"/>
        <w:ind w:firstLine="708"/>
        <w:jc w:val="both"/>
        <w:rPr>
          <w:rFonts w:ascii="Times New Roman" w:hAnsi="Times New Roman" w:cs="Times New Roman"/>
          <w:sz w:val="24"/>
          <w:szCs w:val="24"/>
        </w:rPr>
      </w:pPr>
      <w:r w:rsidR="00A424FB" w:rsidRPr="00A424FB">
        <w:rPr>
          <w:rFonts w:ascii="Times New Roman" w:hAnsi="Times New Roman" w:cs="Times New Roman"/>
          <w:sz w:val="24"/>
          <w:szCs w:val="24"/>
        </w:rPr>
        <w:t>Les formations autres que les cratères ont reçu des désignations latines en fonction de la catégorie à laquelle elles appartenaient :</w:t>
      </w:r>
    </w:p>
    <w:p>
      <w:pPr>
        <w:spacing w:after="0" w:line="240" w:lineRule="auto"/>
        <w:ind w:firstLine="708"/>
        <w:jc w:val="both"/>
        <w:rPr>
          <w:rFonts w:ascii="Times New Roman" w:hAnsi="Times New Roman" w:cs="Times New Roman"/>
          <w:sz w:val="24"/>
          <w:szCs w:val="24"/>
        </w:rPr>
      </w:pPr>
      <w:r w:rsidR="00590058">
        <w:rPr>
          <w:rFonts w:ascii="Times New Roman" w:hAnsi="Times New Roman" w:cs="Times New Roman"/>
          <w:sz w:val="24"/>
          <w:szCs w:val="24"/>
        </w:rPr>
        <w:tab/>
      </w:r>
      <w:r w:rsidR="00590058">
        <w:rPr>
          <w:rFonts w:ascii="Times New Roman" w:hAnsi="Times New Roman" w:cs="Times New Roman"/>
          <w:sz w:val="24"/>
          <w:szCs w:val="24"/>
        </w:rPr>
        <w:tab/>
      </w:r>
      <w:r w:rsidR="00590058">
        <w:rPr>
          <w:rFonts w:ascii="Times New Roman" w:hAnsi="Times New Roman" w:cs="Times New Roman"/>
          <w:sz w:val="24"/>
          <w:szCs w:val="24"/>
        </w:rPr>
        <w:tab/>
      </w:r>
      <w:r w:rsidR="00590058">
        <w:rPr>
          <w:rFonts w:ascii="Times New Roman" w:hAnsi="Times New Roman" w:cs="Times New Roman"/>
          <w:sz w:val="24"/>
          <w:szCs w:val="24"/>
        </w:rPr>
        <w:tab/>
      </w:r>
      <w:r w:rsidR="00590058">
        <w:rPr>
          <w:rFonts w:ascii="Times New Roman" w:hAnsi="Times New Roman" w:cs="Times New Roman"/>
          <w:sz w:val="24"/>
          <w:szCs w:val="24"/>
        </w:rPr>
        <w:tab/>
      </w:r>
    </w:p>
    <w:p>
      <w:pPr>
        <w:spacing w:after="0" w:line="240" w:lineRule="auto"/>
        <w:ind w:firstLine="708"/>
        <w:jc w:val="center"/>
        <w:rPr>
          <w:rFonts w:ascii="Times New Roman" w:hAnsi="Times New Roman" w:cs="Times New Roman"/>
          <w:i/>
          <w:sz w:val="24"/>
          <w:szCs w:val="24"/>
        </w:rPr>
      </w:pPr>
      <w:r w:rsidR="000B1D8D" w:rsidRPr="002D56DE">
        <w:rPr>
          <w:rFonts w:ascii="Times New Roman" w:hAnsi="Times New Roman" w:cs="Times New Roman"/>
          <w:i/>
          <w:sz w:val="24"/>
          <w:szCs w:val="24"/>
        </w:rPr>
        <w:t>Catena: chaîne de cratères</w:t>
      </w:r>
    </w:p>
    <w:p>
      <w:pPr>
        <w:spacing w:after="0" w:line="240" w:lineRule="auto"/>
        <w:ind w:firstLine="708"/>
        <w:jc w:val="center"/>
        <w:rPr>
          <w:rFonts w:ascii="Times New Roman" w:hAnsi="Times New Roman" w:cs="Times New Roman"/>
          <w:i/>
          <w:sz w:val="24"/>
          <w:szCs w:val="24"/>
        </w:rPr>
      </w:pPr>
      <w:r w:rsidR="000B1D8D" w:rsidRPr="002D56DE">
        <w:rPr>
          <w:rFonts w:ascii="Times New Roman" w:hAnsi="Times New Roman" w:cs="Times New Roman"/>
          <w:i/>
          <w:sz w:val="24"/>
          <w:szCs w:val="24"/>
        </w:rPr>
        <w:t>Dorsa: système de dorsales</w:t>
      </w:r>
    </w:p>
    <w:p>
      <w:pPr>
        <w:spacing w:after="0"/>
        <w:ind w:firstLine="708"/>
        <w:jc w:val="center"/>
        <w:rPr>
          <w:rFonts w:ascii="Times New Roman" w:hAnsi="Times New Roman" w:cs="Times New Roman"/>
          <w:i/>
          <w:sz w:val="24"/>
          <w:szCs w:val="24"/>
        </w:rPr>
      </w:pPr>
      <w:r w:rsidR="00DA36A9" w:rsidRPr="002D56DE">
        <w:rPr>
          <w:rFonts w:ascii="Times New Roman" w:hAnsi="Times New Roman" w:cs="Times New Roman"/>
          <w:i/>
          <w:sz w:val="24"/>
          <w:szCs w:val="24"/>
        </w:rPr>
        <w:t>Dorsum: dorsale</w:t>
      </w:r>
    </w:p>
    <w:p>
      <w:pPr>
        <w:spacing w:after="0"/>
        <w:ind w:firstLine="708"/>
        <w:jc w:val="center"/>
        <w:rPr>
          <w:rFonts w:ascii="Times New Roman" w:hAnsi="Times New Roman" w:cs="Times New Roman"/>
          <w:i/>
          <w:sz w:val="24"/>
          <w:szCs w:val="24"/>
        </w:rPr>
      </w:pPr>
      <w:r w:rsidR="00DA36A9" w:rsidRPr="002D56DE">
        <w:rPr>
          <w:rFonts w:ascii="Times New Roman" w:hAnsi="Times New Roman" w:cs="Times New Roman"/>
          <w:i/>
          <w:sz w:val="24"/>
          <w:szCs w:val="24"/>
        </w:rPr>
        <w:t>Lacus: lac</w:t>
      </w:r>
    </w:p>
    <w:p>
      <w:pPr>
        <w:spacing w:after="0"/>
        <w:ind w:firstLine="708"/>
        <w:jc w:val="center"/>
        <w:rPr>
          <w:rFonts w:ascii="Times New Roman" w:hAnsi="Times New Roman" w:cs="Times New Roman"/>
          <w:i/>
          <w:sz w:val="24"/>
          <w:szCs w:val="24"/>
        </w:rPr>
      </w:pPr>
      <w:r w:rsidR="00DA36A9" w:rsidRPr="002D56DE">
        <w:rPr>
          <w:rFonts w:ascii="Times New Roman" w:hAnsi="Times New Roman" w:cs="Times New Roman"/>
          <w:i/>
          <w:sz w:val="24"/>
          <w:szCs w:val="24"/>
        </w:rPr>
        <w:t>Mare: Mer</w:t>
      </w:r>
    </w:p>
    <w:p>
      <w:pPr>
        <w:spacing w:after="0"/>
        <w:ind w:firstLine="708"/>
        <w:jc w:val="center"/>
        <w:rPr>
          <w:rFonts w:ascii="Times New Roman" w:hAnsi="Times New Roman" w:cs="Times New Roman"/>
          <w:i/>
          <w:sz w:val="24"/>
          <w:szCs w:val="24"/>
        </w:rPr>
      </w:pPr>
      <w:r w:rsidR="00DA36A9" w:rsidRPr="002D56DE">
        <w:rPr>
          <w:rFonts w:ascii="Times New Roman" w:hAnsi="Times New Roman" w:cs="Times New Roman"/>
          <w:i/>
          <w:sz w:val="24"/>
          <w:szCs w:val="24"/>
        </w:rPr>
        <w:t>Mons: montagne isolée</w:t>
      </w:r>
    </w:p>
    <w:p>
      <w:pPr>
        <w:spacing w:after="0"/>
        <w:ind w:firstLine="708"/>
        <w:jc w:val="center"/>
        <w:rPr>
          <w:rFonts w:ascii="Times New Roman" w:hAnsi="Times New Roman" w:cs="Times New Roman"/>
          <w:i/>
          <w:sz w:val="24"/>
          <w:szCs w:val="24"/>
        </w:rPr>
      </w:pPr>
      <w:r w:rsidR="00DA36A9" w:rsidRPr="002D56DE">
        <w:rPr>
          <w:rFonts w:ascii="Times New Roman" w:hAnsi="Times New Roman" w:cs="Times New Roman"/>
          <w:i/>
          <w:sz w:val="24"/>
          <w:szCs w:val="24"/>
        </w:rPr>
        <w:t>Montes: chaîne de montagnes ou ensemble de collines</w:t>
      </w:r>
    </w:p>
    <w:sectPr w:rsidR="002E30B6" w:rsidRPr="002D56DE" w:rsidSect="00EC4D5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D10DD">
        <w:separator/>
      </w:r>
    </w:p>
  </w:endnote>
  <w:endnote w:type="continuationSeparator" w:id="1">
    <w:p>
      <w:pPr>
        <w:spacing w:after="0" w:line="240" w:lineRule="auto"/>
      </w:pPr>
      <w:r w:rsidR="006D10D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424FB">
      <w:t>44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D10DD">
        <w:separator/>
      </w:r>
    </w:p>
  </w:footnote>
  <w:footnote w:type="continuationSeparator" w:id="1">
    <w:p>
      <w:pPr>
        <w:spacing w:after="0" w:line="240" w:lineRule="auto"/>
      </w:pPr>
      <w:r w:rsidR="006D10D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8"/>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2E7459"/>
    <w:rsid w:val="000B1D8D"/>
    <w:rsid w:val="002D56DE"/>
    <w:rsid w:val="002E30B6"/>
    <w:rsid w:val="002E7459"/>
    <w:rsid w:val="00305296"/>
    <w:rsid w:val="0033179E"/>
    <w:rsid w:val="003577FC"/>
    <w:rsid w:val="00365015"/>
    <w:rsid w:val="00536151"/>
    <w:rsid w:val="00590058"/>
    <w:rsid w:val="006D10DD"/>
    <w:rsid w:val="0076597C"/>
    <w:rsid w:val="008C5B32"/>
    <w:rsid w:val="00926E54"/>
    <w:rsid w:val="009B11EE"/>
    <w:rsid w:val="00A424FB"/>
    <w:rsid w:val="00CE0E07"/>
    <w:rsid w:val="00DA36A9"/>
    <w:rsid w:val="00E43938"/>
    <w:rsid w:val="00E72588"/>
    <w:rsid w:val="00EC4D56"/>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C4D5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424F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24FB"/>
  </w:style>
  <w:style w:type="paragraph" w:styleId="Pieddepage">
    <w:name w:val="footer"/>
    <w:basedOn w:val="Normal"/>
    <w:link w:val="PieddepageCar"/>
    <w:uiPriority w:val="99"/>
    <w:semiHidden/>
    <w:unhideWhenUsed/>
    <w:rsid w:val="00A424F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24FB"/>
  </w:style>
  <w:style w:type="paragraph" w:styleId="Textedebulles">
    <w:name w:val="Balloon Text"/>
    <w:basedOn w:val="Normal"/>
    <w:link w:val="TextedebullesCar"/>
    <w:uiPriority w:val="99"/>
    <w:semiHidden/>
    <w:unhideWhenUsed/>
    <w:rsid w:val="00A424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4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30249178">
      <w:bodyDiv w:val="1"/>
      <w:marLeft w:val="0"/>
      <w:marRight w:val="0"/>
      <w:marTop w:val="0"/>
      <w:marBottom w:val="0"/>
      <w:divBdr>
        <w:top w:val="none" w:sz="0" w:space="0" w:color="auto"/>
        <w:left w:val="none" w:sz="0" w:space="0" w:color="auto"/>
        <w:bottom w:val="none" w:sz="0" w:space="0" w:color="auto"/>
        <w:right w:val="none" w:sz="0" w:space="0" w:color="auto"/>
      </w:divBdr>
    </w:div>
    <w:div w:id="485316176">
      <w:bodyDiv w:val="1"/>
      <w:marLeft w:val="0"/>
      <w:marRight w:val="0"/>
      <w:marTop w:val="0"/>
      <w:marBottom w:val="0"/>
      <w:divBdr>
        <w:top w:val="none" w:sz="0" w:space="0" w:color="auto"/>
        <w:left w:val="none" w:sz="0" w:space="0" w:color="auto"/>
        <w:bottom w:val="none" w:sz="0" w:space="0" w:color="auto"/>
        <w:right w:val="none" w:sz="0" w:space="0" w:color="auto"/>
      </w:divBdr>
    </w:div>
    <w:div w:id="1846548447">
      <w:bodyDiv w:val="1"/>
      <w:marLeft w:val="0"/>
      <w:marRight w:val="0"/>
      <w:marTop w:val="0"/>
      <w:marBottom w:val="0"/>
      <w:divBdr>
        <w:top w:val="none" w:sz="0" w:space="0" w:color="auto"/>
        <w:left w:val="none" w:sz="0" w:space="0" w:color="auto"/>
        <w:bottom w:val="none" w:sz="0" w:space="0" w:color="auto"/>
        <w:right w:val="none" w:sz="0" w:space="0" w:color="auto"/>
      </w:divBdr>
    </w:div>
    <w:div w:id="201314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406</Words>
  <Characters>2239</Characters>
  <Application>Microsoft Office Word</Application>
  <DocSecurity>0</DocSecurity>
  <Lines>18</Lines>
  <Paragraphs>5</Paragraphs>
  <ScaleCrop>false</ScaleCrop>
  <Company> </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2006-07-03T14:20:00Z</dcterms:created>
  <dcterms:modified xsi:type="dcterms:W3CDTF">2006-09-06T08:39:00Z</dcterms:modified>
</cp:coreProperties>
</file>