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182162">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182162">
        <w:rPr>
          <w:rFonts w:ascii="Times New Roman" w:hAnsi="Times New Roman" w:cs="Times New Roman"/>
          <w:color w:val="000000" w:themeColor="text1"/>
          <w:sz w:val="24"/>
          <w:szCs w:val="24"/>
        </w:rPr>
        <w:t>Chapitre 14</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182162">
        <w:rPr>
          <w:i/>
        </w:rPr>
        <w:t xml:space="preserve">Les exoplanètes </w:t>
      </w:r>
    </w:p>
    <w:p>
      <w:pPr>
        <w:pStyle w:val="NormalWeb"/>
        <w:spacing w:before="0" w:beforeAutospacing="0" w:after="0" w:afterAutospacing="0"/>
        <w:jc w:val="center"/>
        <w:rPr>
          <w:i/>
        </w:rPr>
      </w:pPr>
    </w:p>
    <w:p>
      <w:pPr>
        <w:spacing w:after="0" w:line="240" w:lineRule="auto"/>
        <w:ind w:firstLine="709"/>
        <w:jc w:val="both"/>
        <w:rPr>
          <w:rFonts w:ascii="Times New Roman" w:hAnsi="Times New Roman" w:cs="Times New Roman"/>
          <w:color w:val="000000" w:themeColor="text1"/>
          <w:sz w:val="24"/>
          <w:szCs w:val="24"/>
        </w:rPr>
      </w:pPr>
      <w:r w:rsidR="00BE1BE4" w:rsidRPr="00BE1BE4">
        <w:rPr>
          <w:rFonts w:ascii="Times New Roman" w:hAnsi="Times New Roman" w:cs="Times New Roman"/>
          <w:sz w:val="24"/>
          <w:szCs w:val="24"/>
        </w:rPr>
        <w:t>Après avoir montré sa faisabilité, avoir recherché avec succès des partenaires étrangers pour alléger le coût pour la France et obtenu une décision en 2000, la réalisation commence et se poursuit par l'assemblage des sous-systèmes, le tout malgré des aléas financiers et techniques. Il s'agit de démontrer que dans le contexte proposé par le programme des petites missions du CNES, il est possible de réaliser une mission permettant d'atteindre les objectifs scientifiques fixés :</w:t>
      </w:r>
    </w:p>
    <w:p>
      <w:pPr>
        <w:pStyle w:val="NormalWeb"/>
        <w:spacing w:before="0" w:beforeAutospacing="0" w:after="0" w:afterAutospacing="0"/>
        <w:ind w:left="709" w:hanging="1"/>
        <w:jc w:val="both"/>
      </w:pPr>
      <w:r w:rsidR="00BE1BE4" w:rsidRPr="00BE1BE4">
        <w:t xml:space="preserve">Étude détaillée des oscillations d'un nombre important d'étoiles, </w:t>
      </w:r>
    </w:p>
    <w:p>
      <w:pPr>
        <w:pStyle w:val="NormalWeb"/>
        <w:spacing w:before="0" w:beforeAutospacing="0" w:after="0" w:afterAutospacing="0"/>
        <w:ind w:left="709" w:hanging="1"/>
        <w:jc w:val="both"/>
      </w:pPr>
      <w:r w:rsidR="00BE1BE4" w:rsidRPr="00BE1BE4">
        <w:t xml:space="preserve">Détection de planètes </w:t>
      </w:r>
      <w:hyperlink r:id="rId7" w:anchor="tellurique" w:tgtFrame="blank" w:history="1">
        <w:r w:rsidR="00BE1BE4" w:rsidRPr="00BE1BE4">
          <w:rPr>
            <w:rStyle w:val="Lienhypertexte"/>
            <w:color w:val="000000" w:themeColor="text1"/>
          </w:rPr>
          <w:t>telluriques</w:t>
        </w:r>
      </w:hyperlink>
      <w:r w:rsidR="00BE1BE4" w:rsidRPr="00BE1BE4">
        <w:t xml:space="preserve">. </w:t>
      </w:r>
    </w:p>
    <w:p>
      <w:pPr>
        <w:pStyle w:val="NormalWeb"/>
        <w:spacing w:before="0" w:beforeAutospacing="0" w:after="0" w:afterAutospacing="0"/>
        <w:ind w:firstLine="708"/>
        <w:jc w:val="both"/>
      </w:pPr>
      <w:r w:rsidR="00BE1BE4" w:rsidRPr="00BE1BE4">
        <w:t xml:space="preserve">Pour cela il faut trouver une orbite, prouver que les perturbations auxquelles sera soumise la mission ne brouilleront pas le signal cherché. Puis il faut exposer les résultats des études pour convaincre les experts des groupes de revue. </w:t>
      </w:r>
    </w:p>
    <w:p>
      <w:pPr>
        <w:pStyle w:val="NormalWeb"/>
        <w:spacing w:before="0" w:beforeAutospacing="0" w:after="0" w:afterAutospacing="0"/>
        <w:ind w:firstLine="708"/>
        <w:jc w:val="both"/>
        <w:rPr>
          <w:color w:val="000000" w:themeColor="text1"/>
        </w:rPr>
      </w:pPr>
      <w:r w:rsidR="00BE1BE4" w:rsidRPr="00BE1BE4">
        <w:rPr>
          <w:color w:val="000000" w:themeColor="text1"/>
        </w:rPr>
        <w:t xml:space="preserve">Après quelques difficultés, l'examen est passé avec succès ! </w:t>
      </w:r>
    </w:p>
    <w:p>
      <w:pPr>
        <w:pStyle w:val="NormalWeb"/>
        <w:spacing w:before="0" w:beforeAutospacing="0" w:after="0" w:afterAutospacing="0"/>
        <w:jc w:val="both"/>
        <w:rPr>
          <w:rStyle w:val="titre10"/>
          <w:rFonts w:ascii="Times New Roman" w:hAnsi="Times New Roman"/>
          <w:color w:val="000000" w:themeColor="text1"/>
          <w:sz w:val="24"/>
          <w:szCs w:val="24"/>
        </w:rPr>
      </w:pPr>
      <w:r w:rsidR="00BE1BE4" w:rsidRPr="00BE1BE4">
        <w:rPr>
          <w:rStyle w:val="titre-lettre1"/>
          <w:rFonts w:ascii="Times New Roman" w:eastAsiaTheme="majorEastAsia" w:hAnsi="Times New Roman"/>
          <w:color w:val="000000" w:themeColor="text1"/>
          <w:sz w:val="24"/>
          <w:szCs w:val="24"/>
        </w:rPr>
        <w:t>R</w:t>
      </w:r>
      <w:r w:rsidR="00BE1BE4" w:rsidRPr="00BE1BE4">
        <w:rPr>
          <w:rStyle w:val="titre10"/>
          <w:rFonts w:ascii="Times New Roman" w:hAnsi="Times New Roman"/>
          <w:color w:val="000000" w:themeColor="text1"/>
          <w:sz w:val="24"/>
          <w:szCs w:val="24"/>
        </w:rPr>
        <w:t>éalisation de CoRoT</w:t>
      </w:r>
    </w:p>
    <w:p>
      <w:pPr>
        <w:pStyle w:val="Titre2"/>
        <w:spacing w:before="0" w:line="240" w:lineRule="auto"/>
        <w:jc w:val="center"/>
        <w:rPr>
          <w:rFonts w:ascii="Times New Roman" w:hAnsi="Times New Roman" w:cs="Times New Roman"/>
          <w:color w:val="000000" w:themeColor="text1"/>
          <w:sz w:val="24"/>
          <w:szCs w:val="24"/>
        </w:rPr>
      </w:pPr>
      <w:r w:rsidR="00BE1BE4" w:rsidRPr="00BE1BE4">
        <w:rPr>
          <w:rFonts w:ascii="Times New Roman" w:hAnsi="Times New Roman" w:cs="Times New Roman"/>
          <w:color w:val="000000" w:themeColor="text1"/>
          <w:sz w:val="24"/>
          <w:szCs w:val="24"/>
        </w:rPr>
        <w:t>Décision</w:t>
      </w:r>
    </w:p>
    <w:p>
      <w:pPr>
        <w:spacing w:after="0" w:line="240" w:lineRule="auto"/>
      </w:pPr>
    </w:p>
    <w:p>
      <w:pPr>
        <w:pStyle w:val="NormalWeb"/>
        <w:spacing w:before="0" w:beforeAutospacing="0" w:after="0" w:afterAutospacing="0"/>
        <w:ind w:firstLine="708"/>
        <w:jc w:val="both"/>
        <w:rPr>
          <w:color w:val="000000" w:themeColor="text1"/>
        </w:rPr>
      </w:pPr>
      <w:r w:rsidR="00BE1BE4" w:rsidRPr="00BE1BE4">
        <w:rPr>
          <w:color w:val="000000" w:themeColor="text1"/>
        </w:rPr>
        <w:t xml:space="preserve">Octobre 2000 : le comité des programmes scientifiques du CNES sélectionne, enfin, CoRoT comme la 3ème mission de la filière PROTEUS, pour un lancement en 2004 </w:t>
      </w:r>
    </w:p>
    <w:p>
      <w:pPr>
        <w:pStyle w:val="NormalWeb"/>
        <w:spacing w:before="0" w:beforeAutospacing="0" w:after="0" w:afterAutospacing="0"/>
        <w:jc w:val="both"/>
        <w:rPr>
          <w:color w:val="000000" w:themeColor="text1"/>
        </w:rPr>
      </w:pPr>
      <w:r w:rsidR="00BE1BE4" w:rsidRPr="00BE1BE4">
        <w:rPr>
          <w:color w:val="000000" w:themeColor="text1"/>
        </w:rPr>
        <w:t xml:space="preserve">Coût CNES : environ 60 milliards d'euros </w:t>
      </w:r>
    </w:p>
    <w:p>
      <w:pPr>
        <w:spacing w:after="0" w:line="240" w:lineRule="auto"/>
        <w:ind w:left="709" w:hanging="1"/>
        <w:jc w:val="both"/>
        <w:rPr>
          <w:rFonts w:ascii="Times New Roman" w:hAnsi="Times New Roman" w:cs="Times New Roman"/>
          <w:color w:val="000000" w:themeColor="text1"/>
          <w:sz w:val="24"/>
          <w:szCs w:val="24"/>
        </w:rPr>
      </w:pPr>
      <w:r w:rsidR="00BE1BE4" w:rsidRPr="00BE1BE4">
        <w:rPr>
          <w:rFonts w:ascii="Times New Roman" w:hAnsi="Times New Roman" w:cs="Times New Roman"/>
          <w:color w:val="000000" w:themeColor="text1"/>
          <w:sz w:val="24"/>
          <w:szCs w:val="24"/>
        </w:rPr>
        <w:t xml:space="preserve">+ 50 ingénieurs CNES/CNRS (5ans) </w:t>
      </w:r>
    </w:p>
    <w:p>
      <w:pPr>
        <w:spacing w:after="0" w:line="240" w:lineRule="auto"/>
        <w:ind w:left="709" w:hanging="1"/>
        <w:jc w:val="both"/>
        <w:rPr>
          <w:rFonts w:ascii="Times New Roman" w:hAnsi="Times New Roman" w:cs="Times New Roman"/>
          <w:color w:val="000000" w:themeColor="text1"/>
          <w:sz w:val="24"/>
          <w:szCs w:val="24"/>
        </w:rPr>
      </w:pPr>
      <w:r w:rsidR="00BE1BE4" w:rsidRPr="00BE1BE4">
        <w:rPr>
          <w:rFonts w:ascii="Times New Roman" w:hAnsi="Times New Roman" w:cs="Times New Roman"/>
          <w:color w:val="000000" w:themeColor="text1"/>
          <w:sz w:val="24"/>
          <w:szCs w:val="24"/>
        </w:rPr>
        <w:t xml:space="preserve">+ 150 à 200 scientifiques. </w:t>
      </w:r>
    </w:p>
    <w:p>
      <w:pPr>
        <w:pStyle w:val="NormalWeb"/>
        <w:spacing w:before="0" w:beforeAutospacing="0" w:after="0" w:afterAutospacing="0"/>
        <w:ind w:left="709" w:hanging="1"/>
        <w:jc w:val="both"/>
        <w:rPr>
          <w:color w:val="000000" w:themeColor="text1"/>
        </w:rPr>
      </w:pPr>
      <w:r w:rsidR="00BE1BE4" w:rsidRPr="00BE1BE4">
        <w:rPr>
          <w:color w:val="000000" w:themeColor="text1"/>
        </w:rPr>
        <w:t xml:space="preserve">Le “leadership” français est préservé ! </w:t>
      </w:r>
    </w:p>
    <w:p>
      <w:pPr>
        <w:pStyle w:val="NormalWeb"/>
        <w:spacing w:before="0" w:beforeAutospacing="0" w:after="0" w:afterAutospacing="0"/>
        <w:ind w:firstLine="708"/>
        <w:jc w:val="both"/>
        <w:rPr>
          <w:color w:val="000000" w:themeColor="text1"/>
        </w:rPr>
      </w:pPr>
      <w:r w:rsidR="00BE1BE4" w:rsidRPr="00BE1BE4">
        <w:rPr>
          <w:color w:val="000000" w:themeColor="text1"/>
        </w:rPr>
        <w:t xml:space="preserve">Mais il faut faire vite, rattraper le temps perdu à décider… De nouveaux partenaires européens et des partenaires brésiliens rejoignent le projet. </w:t>
      </w:r>
    </w:p>
    <w:p>
      <w:pPr>
        <w:pStyle w:val="NormalWeb"/>
        <w:spacing w:before="0" w:beforeAutospacing="0" w:after="0" w:afterAutospacing="0"/>
        <w:jc w:val="both"/>
        <w:rPr>
          <w:color w:val="000000" w:themeColor="text1"/>
        </w:rPr>
      </w:pPr>
    </w:p>
    <w:p>
      <w:pPr>
        <w:pStyle w:val="Titre2"/>
        <w:spacing w:before="0" w:line="240" w:lineRule="auto"/>
        <w:jc w:val="center"/>
        <w:rPr>
          <w:rFonts w:ascii="Times New Roman" w:hAnsi="Times New Roman" w:cs="Times New Roman"/>
          <w:color w:val="000000" w:themeColor="text1"/>
          <w:sz w:val="24"/>
          <w:szCs w:val="24"/>
        </w:rPr>
      </w:pPr>
      <w:r w:rsidR="00BE1BE4" w:rsidRPr="00BE1BE4">
        <w:rPr>
          <w:rFonts w:ascii="Times New Roman" w:hAnsi="Times New Roman" w:cs="Times New Roman"/>
          <w:color w:val="000000" w:themeColor="text1"/>
          <w:sz w:val="24"/>
          <w:szCs w:val="24"/>
        </w:rPr>
        <w:t>Réalisation</w:t>
      </w:r>
    </w:p>
    <w:p>
      <w:pPr>
        <w:spacing w:after="0" w:line="240" w:lineRule="auto"/>
      </w:pPr>
    </w:p>
    <w:p>
      <w:pPr>
        <w:pStyle w:val="NormalWeb"/>
        <w:spacing w:before="0" w:beforeAutospacing="0" w:after="0" w:afterAutospacing="0"/>
        <w:ind w:firstLine="708"/>
        <w:jc w:val="both"/>
      </w:pPr>
      <w:r w:rsidR="00BE1BE4" w:rsidRPr="00BE1BE4">
        <w:t xml:space="preserve">Les briques élémentaires de l'instrument ont été réalisées chez les industriels et dans les laboratoires. Après avoir été vérifiées, elles sont assemblées peu à peu et à chaque étape on procède à des tests de bon fonctionnement et de contrôle des performances. Dans le même temps la plateforme est réalisée chez l'industriel ALCATEL Space à Cannes. </w:t>
      </w:r>
    </w:p>
    <w:p>
      <w:pPr>
        <w:pStyle w:val="NormalWeb"/>
        <w:spacing w:before="0" w:beforeAutospacing="0" w:after="0" w:afterAutospacing="0"/>
        <w:ind w:firstLine="708"/>
        <w:jc w:val="both"/>
      </w:pPr>
      <w:r w:rsidR="00BE1BE4" w:rsidRPr="00BE1BE4">
        <w:t xml:space="preserve">Enfin, l'instrument et la plateforme seront réunis mi 2005. </w:t>
      </w:r>
      <w:r w:rsidR="00BE1BE4" w:rsidRPr="00BE1BE4">
        <w:rPr>
          <w:color w:val="000000" w:themeColor="text1"/>
        </w:rPr>
        <w:t>Après de nombreuses vérifications le satellite complet sera livré fin 2005 à l'industriel qui assurera le lancement à l'été 2006.</w:t>
      </w:r>
    </w:p>
    <w:p>
      <w:pPr>
        <w:spacing w:after="0" w:line="240" w:lineRule="auto"/>
        <w:ind w:firstLine="240"/>
        <w:jc w:val="both"/>
        <w:rPr>
          <w:rFonts w:ascii="Times New Roman" w:eastAsia="Times New Roman" w:hAnsi="Times New Roman" w:cs="Times New Roman"/>
          <w:color w:val="000000" w:themeColor="text1"/>
          <w:sz w:val="24"/>
          <w:szCs w:val="24"/>
        </w:rPr>
      </w:pPr>
    </w:p>
    <w:p>
      <w:pPr>
        <w:pStyle w:val="NormalWeb"/>
        <w:spacing w:before="0" w:beforeAutospacing="0" w:after="0" w:afterAutospacing="0"/>
        <w:jc w:val="center"/>
        <w:rPr>
          <w:rStyle w:val="titre10"/>
          <w:rFonts w:ascii="Times New Roman" w:hAnsi="Times New Roman"/>
          <w:b/>
          <w:color w:val="000000" w:themeColor="text1"/>
          <w:sz w:val="24"/>
          <w:szCs w:val="24"/>
        </w:rPr>
      </w:pPr>
      <w:r w:rsidR="00BE1BE4" w:rsidRPr="00BE1BE4">
        <w:rPr>
          <w:rStyle w:val="titre-lettre1"/>
          <w:rFonts w:ascii="Times New Roman" w:eastAsiaTheme="majorEastAsia" w:hAnsi="Times New Roman"/>
          <w:b/>
          <w:color w:val="000000" w:themeColor="text1"/>
          <w:sz w:val="24"/>
          <w:szCs w:val="24"/>
        </w:rPr>
        <w:t>L</w:t>
      </w:r>
      <w:r w:rsidR="00BE1BE4" w:rsidRPr="00BE1BE4">
        <w:rPr>
          <w:rStyle w:val="titre10"/>
          <w:rFonts w:ascii="Times New Roman" w:hAnsi="Times New Roman"/>
          <w:b/>
          <w:color w:val="000000" w:themeColor="text1"/>
          <w:sz w:val="24"/>
          <w:szCs w:val="24"/>
        </w:rPr>
        <w:t>es autres satellites</w:t>
      </w:r>
    </w:p>
    <w:p>
      <w:pPr>
        <w:pStyle w:val="NormalWeb"/>
        <w:spacing w:before="0" w:beforeAutospacing="0" w:after="0" w:afterAutospacing="0"/>
        <w:jc w:val="center"/>
        <w:rPr>
          <w:rStyle w:val="titre10"/>
          <w:rFonts w:ascii="Times New Roman" w:hAnsi="Times New Roman"/>
          <w:b/>
          <w:color w:val="000000" w:themeColor="text1"/>
          <w:sz w:val="24"/>
          <w:szCs w:val="24"/>
        </w:rPr>
      </w:pPr>
    </w:p>
    <w:p>
      <w:pPr>
        <w:spacing w:after="0" w:line="240" w:lineRule="auto"/>
        <w:ind w:firstLine="708"/>
        <w:jc w:val="both"/>
        <w:rPr>
          <w:rFonts w:ascii="Times New Roman" w:eastAsia="Times New Roman" w:hAnsi="Times New Roman" w:cs="Times New Roman"/>
          <w:color w:val="000000" w:themeColor="text1"/>
          <w:sz w:val="24"/>
          <w:szCs w:val="24"/>
        </w:rPr>
      </w:pPr>
      <w:r w:rsidR="00BE1BE4" w:rsidRPr="00BE1BE4">
        <w:rPr>
          <w:rFonts w:ascii="Times New Roman" w:eastAsia="Times New Roman" w:hAnsi="Times New Roman" w:cs="Times New Roman"/>
          <w:color w:val="000000" w:themeColor="text1"/>
          <w:sz w:val="24"/>
          <w:szCs w:val="24"/>
        </w:rPr>
        <w:t>Le lancement de CoRoT en 2006 lui donne au moins deux ans d'avance sur ses successeurs immédiats KEPLER et EDDINGTON. Les étapes suivantes sont très ambitieuses ; elle</w:t>
      </w:r>
      <w:r w:rsidR="00BE1BE4">
        <w:rPr>
          <w:rFonts w:ascii="Times New Roman" w:eastAsia="Times New Roman" w:hAnsi="Times New Roman" w:cs="Times New Roman"/>
          <w:color w:val="000000" w:themeColor="text1"/>
          <w:sz w:val="24"/>
          <w:szCs w:val="24"/>
        </w:rPr>
        <w:t>s</w:t>
      </w:r>
      <w:r w:rsidR="00BE1BE4" w:rsidRPr="00BE1BE4">
        <w:rPr>
          <w:rFonts w:ascii="Times New Roman" w:eastAsia="Times New Roman" w:hAnsi="Times New Roman" w:cs="Times New Roman"/>
          <w:color w:val="000000" w:themeColor="text1"/>
          <w:sz w:val="24"/>
          <w:szCs w:val="24"/>
        </w:rPr>
        <w:t xml:space="preserve"> viseront à détecter et analyser les conditions d'apparition de la vie dans l'Univers. </w:t>
      </w:r>
    </w:p>
    <w:p>
      <w:pPr>
        <w:spacing w:after="0" w:line="240" w:lineRule="auto"/>
        <w:ind w:firstLine="708"/>
        <w:jc w:val="both"/>
        <w:rPr>
          <w:rFonts w:ascii="Times New Roman" w:eastAsia="Times New Roman" w:hAnsi="Times New Roman" w:cs="Times New Roman"/>
          <w:color w:val="000000" w:themeColor="text1"/>
          <w:sz w:val="24"/>
          <w:szCs w:val="24"/>
        </w:rPr>
      </w:pPr>
      <w:r w:rsidR="00BE1BE4" w:rsidRPr="00BE1BE4">
        <w:rPr>
          <w:rFonts w:ascii="Times New Roman" w:eastAsia="Times New Roman" w:hAnsi="Times New Roman" w:cs="Times New Roman"/>
          <w:color w:val="000000" w:themeColor="text1"/>
          <w:sz w:val="24"/>
          <w:szCs w:val="24"/>
        </w:rPr>
        <w:t xml:space="preserve">MOST, le microsatellite canadien développé par l'Université de Toronto, a été lancé en Juin 2004. De la taille d'une petite valise, il est dédié à l'observation des variations photométriques de quelques étoiles brillantes, qu'il peut suivre pendant un mois continûment. </w:t>
      </w:r>
    </w:p>
    <w:p>
      <w:pPr>
        <w:spacing w:after="0" w:line="240" w:lineRule="auto"/>
        <w:ind w:firstLine="708"/>
        <w:jc w:val="both"/>
        <w:rPr>
          <w:rFonts w:ascii="Times New Roman" w:eastAsia="Times New Roman" w:hAnsi="Times New Roman" w:cs="Times New Roman"/>
          <w:color w:val="000000" w:themeColor="text1"/>
          <w:sz w:val="24"/>
          <w:szCs w:val="24"/>
        </w:rPr>
      </w:pPr>
      <w:r w:rsidR="00BE1BE4" w:rsidRPr="00BE1BE4">
        <w:rPr>
          <w:rFonts w:ascii="Times New Roman" w:eastAsia="Times New Roman" w:hAnsi="Times New Roman" w:cs="Times New Roman"/>
          <w:color w:val="000000" w:themeColor="text1"/>
          <w:sz w:val="24"/>
          <w:szCs w:val="24"/>
        </w:rPr>
        <w:t xml:space="preserve">Les premiers résultats confirment la grande qualité des observations depuis l'espace : précision, et continuité. </w:t>
      </w:r>
    </w:p>
    <w:sectPr w:rsidR="00514F59" w:rsidRPr="00BE1BE4" w:rsidSect="003D5450">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014435">
        <w:separator/>
      </w:r>
    </w:p>
  </w:endnote>
  <w:endnote w:type="continuationSeparator" w:id="1">
    <w:p>
      <w:pPr>
        <w:spacing w:after="0" w:line="240" w:lineRule="auto"/>
      </w:pPr>
      <w:r w:rsidR="00014435">
        <w:continuationSeparator/>
      </w:r>
    </w:p>
  </w:endnote>
</w:endnotes>
</file>

<file path=word/fontTable.xml><?xml version="1.0" encoding="utf-8"?>
<w:fonts xmlns:r="http://schemas.openxmlformats.org/officeDocument/2006/relationships" xmlns:w="http://schemas.openxmlformats.org/wordprocessingml/2006/3/main">
  <w:font w:name="Symbol">
    <w:altName w:val="Wingdings 3"/>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4E0345">
      <w:t>404</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014435">
        <w:separator/>
      </w:r>
    </w:p>
  </w:footnote>
  <w:footnote w:type="continuationSeparator" w:id="1">
    <w:p>
      <w:pPr>
        <w:spacing w:after="0" w:line="240" w:lineRule="auto"/>
      </w:pPr>
      <w:r w:rsidR="00014435">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2" type="#_x0000_t75" style="width:3in;height:3in" o:bullet="t"/>
    </w:pict>
  </w:numPicBullet>
  <w:numPicBullet w:numPicBulletId="1">
    <w:pict>
      <v:shape id="_x0000_i1163" type="#_x0000_t75" style="width:3in;height:3in" o:bullet="t"/>
    </w:pict>
  </w:numPicBullet>
  <w:numPicBullet w:numPicBulletId="2">
    <w:pict>
      <v:shape id="_x0000_i1164" type="#_x0000_t75" style="width:11.25pt;height:9.75pt" o:bullet="t">
        <v:imagedata r:id="rId1" o:title="clip_image001"/>
      </v:shape>
    </w:pict>
  </w:numPicBullet>
  <w:numPicBullet w:numPicBulletId="3">
    <w:pict>
      <v:shape id="_x0000_i1165" type="#_x0000_t75" style="width:3in;height:3in" o:bullet="t"/>
    </w:pict>
  </w:numPicBullet>
  <w:numPicBullet w:numPicBulletId="4">
    <w:pict>
      <v:shape id="_x0000_i1166" type="#_x0000_t75" style="width:3in;height:3in" o:bullet="t"/>
    </w:pict>
  </w:numPicBullet>
  <w:numPicBullet w:numPicBulletId="5">
    <w:pict>
      <v:shape id="_x0000_i1167" type="#_x0000_t75" style="width:3in;height:3in" o:bullet="t"/>
    </w:pict>
  </w:numPicBullet>
  <w:numPicBullet w:numPicBulletId="6">
    <w:pict>
      <v:shape id="_x0000_i1168" type="#_x0000_t75" style="width:3in;height:3in" o:bullet="t"/>
    </w:pict>
  </w:numPicBullet>
  <w:abstractNum w:abstractNumId="0">
    <w:nsid w:val="06191D07"/>
    <w:multiLevelType w:val="multilevel"/>
    <w:tmpl w:val="1A8CCA96"/>
    <w:lvl w:ilvl="0">
      <w:start w:val="1"/>
      <w:numFmt w:val="bullet"/>
      <w:lvlText w:val=""/>
      <w:lvlPicBulletId w:val="1"/>
      <w:lvlJc w:val="left"/>
      <w:pPr>
        <w:tabs>
          <w:tab w:val="num" w:pos="2160"/>
        </w:tabs>
        <w:ind w:left="2160" w:hanging="360"/>
      </w:pPr>
      <w:rPr>
        <w:rFonts w:ascii="Symbol" w:hAnsi="Symbol" w:hint="default"/>
        <w:sz w:val="20"/>
      </w:rPr>
    </w:lvl>
    <w:lvl w:ilvl="1">
      <w:start w:val="1"/>
      <w:numFmt w:val="decimal"/>
      <w:lvlText w:val="%2."/>
      <w:lvlJc w:val="left"/>
      <w:pPr>
        <w:tabs>
          <w:tab w:val="num" w:pos="2880"/>
        </w:tabs>
        <w:ind w:left="2880" w:hanging="360"/>
      </w:pPr>
    </w:lvl>
    <w:lvl w:ilvl="2">
      <w:start w:val="1"/>
      <w:numFmt w:val="decimal"/>
      <w:lvlText w:val="%3."/>
      <w:lvlJc w:val="left"/>
      <w:pPr>
        <w:tabs>
          <w:tab w:val="num" w:pos="3600"/>
        </w:tabs>
        <w:ind w:left="3600" w:hanging="360"/>
      </w:pPr>
    </w:lvl>
    <w:lvl w:ilvl="3">
      <w:start w:val="1"/>
      <w:numFmt w:val="decimal"/>
      <w:lvlText w:val="%4."/>
      <w:lvlJc w:val="left"/>
      <w:pPr>
        <w:tabs>
          <w:tab w:val="num" w:pos="4320"/>
        </w:tabs>
        <w:ind w:left="4320" w:hanging="360"/>
      </w:pPr>
    </w:lvl>
    <w:lvl w:ilvl="4">
      <w:start w:val="1"/>
      <w:numFmt w:val="decimal"/>
      <w:lvlText w:val="%5."/>
      <w:lvlJc w:val="left"/>
      <w:pPr>
        <w:tabs>
          <w:tab w:val="num" w:pos="5040"/>
        </w:tabs>
        <w:ind w:left="5040" w:hanging="360"/>
      </w:pPr>
    </w:lvl>
    <w:lvl w:ilvl="5">
      <w:start w:val="1"/>
      <w:numFmt w:val="decimal"/>
      <w:lvlText w:val="%6."/>
      <w:lvlJc w:val="left"/>
      <w:pPr>
        <w:tabs>
          <w:tab w:val="num" w:pos="5760"/>
        </w:tabs>
        <w:ind w:left="5760" w:hanging="360"/>
      </w:pPr>
    </w:lvl>
    <w:lvl w:ilvl="6">
      <w:start w:val="1"/>
      <w:numFmt w:val="decimal"/>
      <w:lvlText w:val="%7."/>
      <w:lvlJc w:val="left"/>
      <w:pPr>
        <w:tabs>
          <w:tab w:val="num" w:pos="6480"/>
        </w:tabs>
        <w:ind w:left="6480" w:hanging="360"/>
      </w:pPr>
    </w:lvl>
    <w:lvl w:ilvl="7">
      <w:start w:val="1"/>
      <w:numFmt w:val="decimal"/>
      <w:lvlText w:val="%8."/>
      <w:lvlJc w:val="left"/>
      <w:pPr>
        <w:tabs>
          <w:tab w:val="num" w:pos="7200"/>
        </w:tabs>
        <w:ind w:left="7200" w:hanging="360"/>
      </w:pPr>
    </w:lvl>
    <w:lvl w:ilvl="8">
      <w:start w:val="1"/>
      <w:numFmt w:val="decimal"/>
      <w:lvlText w:val="%9."/>
      <w:lvlJc w:val="left"/>
      <w:pPr>
        <w:tabs>
          <w:tab w:val="num" w:pos="7920"/>
        </w:tabs>
        <w:ind w:left="7920" w:hanging="360"/>
      </w:pPr>
    </w:lvl>
  </w:abstractNum>
  <w:abstractNum w:abstractNumId="1">
    <w:nsid w:val="111219AF"/>
    <w:multiLevelType w:val="multilevel"/>
    <w:tmpl w:val="1A8CCA96"/>
    <w:lvl w:ilvl="0">
      <w:start w:val="1"/>
      <w:numFmt w:val="bullet"/>
      <w:lvlText w:val=""/>
      <w:lvlPicBulletId w:val="0"/>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FE418F5"/>
    <w:multiLevelType w:val="multilevel"/>
    <w:tmpl w:val="DFBA9A6A"/>
    <w:lvl w:ilvl="0">
      <w:start w:val="1"/>
      <w:numFmt w:val="bullet"/>
      <w:lvlText w:val=""/>
      <w:lvlPicBulletId w:val="5"/>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2E965D47"/>
    <w:multiLevelType w:val="multilevel"/>
    <w:tmpl w:val="7FD48D14"/>
    <w:lvl w:ilvl="0">
      <w:start w:val="1"/>
      <w:numFmt w:val="bullet"/>
      <w:lvlText w:val=""/>
      <w:lvlPicBulletId w:val="2"/>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3A727063"/>
    <w:multiLevelType w:val="multilevel"/>
    <w:tmpl w:val="8FB81424"/>
    <w:lvl w:ilvl="0">
      <w:start w:val="1"/>
      <w:numFmt w:val="bullet"/>
      <w:lvlText w:val=""/>
      <w:lvlPicBulletId w:val="4"/>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4DAC15AE"/>
    <w:multiLevelType w:val="multilevel"/>
    <w:tmpl w:val="8FB81424"/>
    <w:lvl w:ilvl="0">
      <w:start w:val="1"/>
      <w:numFmt w:val="bullet"/>
      <w:lvlText w:val=""/>
      <w:lvlPicBulletId w:val="3"/>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725278A8"/>
    <w:multiLevelType w:val="multilevel"/>
    <w:tmpl w:val="DFBA9A6A"/>
    <w:lvl w:ilvl="0">
      <w:start w:val="1"/>
      <w:numFmt w:val="bullet"/>
      <w:lvlText w:val=""/>
      <w:lvlPicBulletId w:val="6"/>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74F479BB"/>
    <w:multiLevelType w:val="multilevel"/>
    <w:tmpl w:val="AA74B8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num>
  <w:num w:numId="2">
    <w:abstractNumId w:val="0"/>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4"/>
  </w:num>
  <w:num w:numId="7">
    <w:abstractNumId w:val="2"/>
  </w:num>
  <w:num w:numId="8">
    <w:abstractNumId w:val="6"/>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182162"/>
    <w:rsid w:val="00014435"/>
    <w:rsid w:val="00182162"/>
    <w:rsid w:val="003D5450"/>
    <w:rsid w:val="004E0345"/>
    <w:rsid w:val="00514F59"/>
    <w:rsid w:val="006B2373"/>
    <w:rsid w:val="00AA790D"/>
    <w:rsid w:val="00BE1BE4"/>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3D5450"/>
  </w:style>
  <w:style w:type="paragraph" w:styleId="Titre1">
    <w:name w:val="heading 1"/>
    <w:basedOn w:val="Normal"/>
    <w:link w:val="Titre1Car"/>
    <w:uiPriority w:val="9"/>
    <w:qFormat/>
    <w:rsid w:val="00BE1BE4"/>
    <w:pPr>
      <w:spacing w:before="100" w:beforeAutospacing="1" w:after="100" w:afterAutospacing="1" w:line="340" w:lineRule="atLeast"/>
      <w:outlineLvl w:val="0"/>
    </w:pPr>
    <w:rPr>
      <w:rFonts w:ascii="Georgia" w:eastAsia="Times New Roman" w:hAnsi="Georgia" w:cs="Times New Roman"/>
      <w:b/>
      <w:bCs/>
      <w:color w:val="FFFFFF"/>
      <w:kern w:val="36"/>
      <w:sz w:val="28"/>
      <w:szCs w:val="28"/>
    </w:rPr>
  </w:style>
  <w:style w:type="paragraph" w:styleId="Titre2">
    <w:name w:val="heading 2"/>
    <w:basedOn w:val="Normal"/>
    <w:next w:val="Normal"/>
    <w:link w:val="Titre2Car"/>
    <w:uiPriority w:val="9"/>
    <w:qFormat/>
    <w:rsid w:val="00BE1BE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BE1BE4"/>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182162"/>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4E0345"/>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4E0345"/>
  </w:style>
  <w:style w:type="paragraph" w:styleId="Pieddepage">
    <w:name w:val="footer"/>
    <w:basedOn w:val="Normal"/>
    <w:link w:val="PieddepageCar"/>
    <w:uiPriority w:val="99"/>
    <w:semiHidden/>
    <w:unhideWhenUsed/>
    <w:rsid w:val="004E0345"/>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4E0345"/>
  </w:style>
  <w:style w:type="paragraph" w:styleId="Textedebulles">
    <w:name w:val="Balloon Text"/>
    <w:basedOn w:val="Normal"/>
    <w:link w:val="TextedebullesCar"/>
    <w:uiPriority w:val="99"/>
    <w:semiHidden/>
    <w:unhideWhenUsed/>
    <w:rsid w:val="004E034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0345"/>
    <w:rPr>
      <w:rFonts w:ascii="Tahoma" w:hAnsi="Tahoma" w:cs="Tahoma"/>
      <w:sz w:val="16"/>
      <w:szCs w:val="16"/>
    </w:rPr>
  </w:style>
  <w:style w:type="character" w:customStyle="1" w:styleId="Titre1Car">
    <w:name w:val="Titre 1 Car"/>
    <w:basedOn w:val="Policepardfaut"/>
    <w:link w:val="Titre1"/>
    <w:uiPriority w:val="9"/>
    <w:rsid w:val="00BE1BE4"/>
    <w:rPr>
      <w:rFonts w:ascii="Georgia" w:eastAsia="Times New Roman" w:hAnsi="Georgia" w:cs="Times New Roman"/>
      <w:b/>
      <w:bCs/>
      <w:color w:val="FFFFFF"/>
      <w:kern w:val="36"/>
      <w:sz w:val="28"/>
      <w:szCs w:val="28"/>
    </w:rPr>
  </w:style>
  <w:style w:type="character" w:customStyle="1" w:styleId="Titre2Car">
    <w:name w:val="Titre 2 Car"/>
    <w:basedOn w:val="Policepardfaut"/>
    <w:link w:val="Titre2"/>
    <w:uiPriority w:val="9"/>
    <w:rsid w:val="00BE1BE4"/>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BE1BE4"/>
    <w:rPr>
      <w:rFonts w:asciiTheme="majorHAnsi" w:eastAsiaTheme="majorEastAsia" w:hAnsiTheme="majorHAnsi" w:cstheme="majorBidi"/>
      <w:b/>
      <w:bCs/>
      <w:color w:val="4F81BD" w:themeColor="accent1"/>
    </w:rPr>
  </w:style>
  <w:style w:type="character" w:styleId="Lienhypertexte">
    <w:name w:val="Hyperlink"/>
    <w:basedOn w:val="Policepardfaut"/>
    <w:uiPriority w:val="99"/>
    <w:semiHidden/>
    <w:unhideWhenUsed/>
    <w:rsid w:val="00BE1BE4"/>
    <w:rPr>
      <w:strike w:val="0"/>
      <w:dstrike w:val="0"/>
      <w:color w:val="66FFFF"/>
      <w:u w:val="none"/>
      <w:effect w:val="none"/>
    </w:rPr>
  </w:style>
  <w:style w:type="character" w:styleId="Lienhypertextesuivivisit">
    <w:name w:val="FollowedHyperlink"/>
    <w:basedOn w:val="Policepardfaut"/>
    <w:uiPriority w:val="99"/>
    <w:semiHidden/>
    <w:unhideWhenUsed/>
    <w:rsid w:val="00BE1BE4"/>
    <w:rPr>
      <w:color w:val="800080" w:themeColor="followedHyperlink"/>
      <w:u w:val="single"/>
    </w:rPr>
  </w:style>
  <w:style w:type="character" w:styleId="MachinecrireHTML">
    <w:name w:val="HTML Typewriter"/>
    <w:basedOn w:val="Policepardfaut"/>
    <w:uiPriority w:val="99"/>
    <w:semiHidden/>
    <w:unhideWhenUsed/>
    <w:rsid w:val="00BE1BE4"/>
    <w:rPr>
      <w:rFonts w:ascii="Courier New" w:eastAsia="Times New Roman" w:hAnsi="Courier New" w:cs="Courier New" w:hint="default"/>
      <w:sz w:val="20"/>
      <w:szCs w:val="20"/>
    </w:rPr>
  </w:style>
  <w:style w:type="paragraph" w:styleId="NoSpacing">
    <w:name w:val="No Spacing"/>
    <w:uiPriority w:val="1"/>
    <w:semiHidden/>
    <w:qFormat/>
    <w:rsid w:val="00BE1BE4"/>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semiHidden/>
    <w:qFormat/>
    <w:rsid w:val="00BE1BE4"/>
    <w:pPr>
      <w:ind w:left="720"/>
      <w:contextualSpacing/>
    </w:pPr>
  </w:style>
  <w:style w:type="character" w:customStyle="1" w:styleId="titre-lettre1">
    <w:name w:val="titre-lettre1"/>
    <w:basedOn w:val="Policepardfaut"/>
    <w:rsid w:val="00BE1BE4"/>
    <w:rPr>
      <w:rFonts w:ascii="Trebuchet MS" w:hAnsi="Trebuchet MS" w:hint="default"/>
      <w:color w:val="E3F5FF"/>
      <w:sz w:val="60"/>
      <w:szCs w:val="60"/>
    </w:rPr>
  </w:style>
  <w:style w:type="character" w:customStyle="1" w:styleId="titre10">
    <w:name w:val="titre1"/>
    <w:basedOn w:val="Policepardfaut"/>
    <w:rsid w:val="00BE1BE4"/>
    <w:rPr>
      <w:rFonts w:ascii="Trebuchet MS" w:hAnsi="Trebuchet MS" w:hint="default"/>
      <w:color w:val="E3F5FF"/>
      <w:sz w:val="36"/>
      <w:szCs w:val="36"/>
    </w:rPr>
  </w:style>
  <w:style w:type="character" w:customStyle="1" w:styleId="titretable1">
    <w:name w:val="titretable1"/>
    <w:basedOn w:val="Policepardfaut"/>
    <w:rsid w:val="00BE1BE4"/>
    <w:rPr>
      <w:rFonts w:ascii="Trebuchet MS" w:hAnsi="Trebuchet MS" w:hint="default"/>
      <w:b/>
      <w:bCs/>
      <w:color w:val="F2E9A3"/>
    </w:rPr>
  </w:style>
  <w:style w:type="character" w:styleId="Accentuation">
    <w:name w:val="Emphasis"/>
    <w:basedOn w:val="Policepardfaut"/>
    <w:uiPriority w:val="20"/>
    <w:qFormat/>
    <w:rsid w:val="00BE1BE4"/>
    <w:rPr>
      <w:i/>
      <w:iCs/>
    </w:rPr>
  </w:style>
</w:styles>
</file>

<file path=word/webSettings.xml><?xml version="1.0" encoding="utf-8"?>
<w:webSettings xmlns:r="http://schemas.openxmlformats.org/officeDocument/2006/relationships" xmlns:w="http://schemas.openxmlformats.org/wordprocessingml/2006/3/main">
  <w:divs>
    <w:div w:id="572396446">
      <w:bodyDiv w:val="1"/>
      <w:marLeft w:val="0"/>
      <w:marRight w:val="0"/>
      <w:marTop w:val="0"/>
      <w:marBottom w:val="0"/>
      <w:divBdr>
        <w:top w:val="none" w:sz="0" w:space="0" w:color="auto"/>
        <w:left w:val="none" w:sz="0" w:space="0" w:color="auto"/>
        <w:bottom w:val="none" w:sz="0" w:space="0" w:color="auto"/>
        <w:right w:val="none" w:sz="0" w:space="0" w:color="auto"/>
      </w:divBdr>
    </w:div>
    <w:div w:id="1963153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media4.obspm.fr/exoplanetes/glossaire.html#telluriqu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419</Words>
  <Characters>2310</Characters>
  <Application>Microsoft Office Word</Application>
  <DocSecurity>0</DocSecurity>
  <Lines>19</Lines>
  <Paragraphs>5</Paragraphs>
  <ScaleCrop>false</ScaleCrop>
  <Company> </Company>
  <LinksUpToDate>false</LinksUpToDate>
  <CharactersWithSpaces>2724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2006-09-03T17:31:00Z</dcterms:created>
  <dcterms:modified xsi:type="dcterms:W3CDTF">2006-09-04T11:55:00Z</dcterms:modified>
</cp:coreProperties>
</file>