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C436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C4369">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DC4369">
        <w:rPr>
          <w:i/>
        </w:rPr>
        <w:t xml:space="preserve">Les exoplanètes </w:t>
      </w:r>
    </w:p>
    <w:p>
      <w:pPr>
        <w:pStyle w:val="NormalWeb"/>
        <w:spacing w:before="0" w:beforeAutospacing="0" w:after="0" w:afterAutospacing="0"/>
        <w:jc w:val="center"/>
        <w:rPr>
          <w:i/>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8D26DB" w:rsidRPr="008D26DB">
        <w:rPr>
          <w:rStyle w:val="titre-lettre1"/>
          <w:rFonts w:ascii="Times New Roman" w:eastAsiaTheme="majorEastAsia" w:hAnsi="Times New Roman"/>
          <w:b/>
          <w:color w:val="000000" w:themeColor="text1"/>
          <w:sz w:val="24"/>
          <w:szCs w:val="24"/>
        </w:rPr>
        <w:t>V</w:t>
      </w:r>
      <w:r w:rsidR="008D26DB" w:rsidRPr="008D26DB">
        <w:rPr>
          <w:rStyle w:val="titre10"/>
          <w:rFonts w:ascii="Times New Roman" w:hAnsi="Times New Roman"/>
          <w:b/>
          <w:color w:val="000000" w:themeColor="text1"/>
          <w:sz w:val="24"/>
          <w:szCs w:val="24"/>
        </w:rPr>
        <w:t>ariation d'éclat</w:t>
      </w:r>
    </w:p>
    <w:p>
      <w:pPr>
        <w:pStyle w:val="NormalWeb"/>
        <w:spacing w:before="0" w:beforeAutospacing="0" w:after="0" w:afterAutospacing="0"/>
        <w:jc w:val="center"/>
        <w:rPr>
          <w:b/>
          <w:color w:val="000000" w:themeColor="text1"/>
        </w:rPr>
      </w:pPr>
    </w:p>
    <w:p>
      <w:pPr>
        <w:spacing w:after="0" w:line="240" w:lineRule="auto"/>
        <w:ind w:firstLine="708"/>
        <w:jc w:val="both"/>
        <w:rPr>
          <w:rFonts w:ascii="Times New Roman" w:eastAsia="Times New Roman" w:hAnsi="Times New Roman" w:cs="Times New Roman"/>
          <w:color w:val="000000" w:themeColor="text1"/>
          <w:sz w:val="24"/>
          <w:szCs w:val="24"/>
        </w:rPr>
      </w:pPr>
      <w:r w:rsidR="008D26DB" w:rsidRPr="008D26DB">
        <w:rPr>
          <w:rFonts w:ascii="Times New Roman" w:eastAsia="Times New Roman" w:hAnsi="Times New Roman" w:cs="Times New Roman"/>
          <w:color w:val="000000" w:themeColor="text1"/>
          <w:sz w:val="24"/>
          <w:szCs w:val="24"/>
        </w:rPr>
        <w:t xml:space="preserve">La "profondeur" du transit dépend de la taille de l'étoile et de celle de la planète. Plus l'étoile est grosse moins le transit est profond, plus la planète est grosse plus le transit est profond. Pour La Terre devant le Soleil la profondeur du transit est 8 dix-millièmes, pour Jupiter il est de un centième. </w:t>
      </w:r>
    </w:p>
    <w:p>
      <w:pPr>
        <w:spacing w:after="0" w:line="240" w:lineRule="auto"/>
        <w:ind w:firstLine="708"/>
        <w:jc w:val="both"/>
        <w:rPr>
          <w:rFonts w:ascii="Times New Roman" w:eastAsia="Times New Roman" w:hAnsi="Times New Roman" w:cs="Times New Roman"/>
          <w:color w:val="000000" w:themeColor="text1"/>
          <w:sz w:val="24"/>
          <w:szCs w:val="24"/>
        </w:rPr>
      </w:pPr>
      <w:r w:rsidR="008D26DB" w:rsidRPr="008D26DB">
        <w:rPr>
          <w:rFonts w:ascii="Times New Roman" w:eastAsia="Times New Roman" w:hAnsi="Times New Roman" w:cs="Times New Roman"/>
          <w:color w:val="000000" w:themeColor="text1"/>
          <w:sz w:val="24"/>
          <w:szCs w:val="24"/>
        </w:rPr>
        <w:t xml:space="preserve">Le transit est périodique et la période est celle de la révolution de la planète. La durée du transit dépend de la période de la planète c'est-à-dire de sa distance à l'étoile. </w:t>
      </w:r>
    </w:p>
    <w:p>
      <w:pPr>
        <w:spacing w:after="0" w:line="240" w:lineRule="auto"/>
        <w:ind w:firstLine="708"/>
        <w:jc w:val="both"/>
        <w:rPr>
          <w:rFonts w:ascii="Times New Roman" w:eastAsia="Times New Roman" w:hAnsi="Times New Roman" w:cs="Times New Roman"/>
          <w:color w:val="000000" w:themeColor="text1"/>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8D26DB" w:rsidRPr="008D26DB">
        <w:rPr>
          <w:rStyle w:val="titre-lettre1"/>
          <w:rFonts w:ascii="Times New Roman" w:eastAsiaTheme="majorEastAsia" w:hAnsi="Times New Roman"/>
          <w:b/>
          <w:color w:val="000000" w:themeColor="text1"/>
          <w:sz w:val="24"/>
          <w:szCs w:val="24"/>
        </w:rPr>
        <w:t>L</w:t>
      </w:r>
      <w:r w:rsidR="008D26DB" w:rsidRPr="008D26DB">
        <w:rPr>
          <w:rStyle w:val="titre10"/>
          <w:rFonts w:ascii="Times New Roman" w:hAnsi="Times New Roman"/>
          <w:b/>
          <w:color w:val="000000" w:themeColor="text1"/>
          <w:sz w:val="24"/>
          <w:szCs w:val="24"/>
        </w:rPr>
        <w:t>es yeux de CoRoT</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rPr>
          <w:color w:val="000000" w:themeColor="text1"/>
        </w:rPr>
      </w:pPr>
      <w:r w:rsidR="008D26DB" w:rsidRPr="008D26DB">
        <w:rPr>
          <w:color w:val="000000" w:themeColor="text1"/>
        </w:rPr>
        <w:t xml:space="preserve">CoRoT enregistrera simultanément sur ses quatre détecteurs les variations d'éclat de 10 étoiles brillantes (de </w:t>
      </w:r>
      <w:hyperlink r:id="rId7" w:history="1">
        <w:r w:rsidR="008D26DB" w:rsidRPr="008D26DB">
          <w:rPr>
            <w:rStyle w:val="Lienhypertexte"/>
            <w:color w:val="000000" w:themeColor="text1"/>
          </w:rPr>
          <w:t>magnitudes</w:t>
        </w:r>
      </w:hyperlink>
      <w:r w:rsidR="008D26DB" w:rsidRPr="008D26DB">
        <w:rPr>
          <w:color w:val="000000" w:themeColor="text1"/>
        </w:rPr>
        <w:t xml:space="preserve"> comprises entre 6 et 9.5) pour le programme de sismologie et 12 000 étoiles faibles (de magnitudes comprises entre 11 et 16) pour le programme exoplanètes. Ces étoiles seront choisies de façon à réaliser au mieux les objectifs scientifiques de la mission en s'appuyant sur des observations depuis le sol. </w:t>
      </w:r>
    </w:p>
    <w:p>
      <w:pPr>
        <w:pStyle w:val="NormalWeb"/>
        <w:spacing w:before="0" w:beforeAutospacing="0" w:after="0" w:afterAutospacing="0"/>
        <w:ind w:firstLine="708"/>
        <w:jc w:val="both"/>
        <w:rPr>
          <w:color w:val="000000" w:themeColor="text1"/>
        </w:rPr>
      </w:pPr>
      <w:r w:rsidR="008D26DB" w:rsidRPr="008D26DB">
        <w:rPr>
          <w:color w:val="000000" w:themeColor="text1"/>
        </w:rPr>
        <w:t xml:space="preserve">Mais le ciel observable par CoRoT est limité par les performances du satellite et par la nécessité d'observer dans l'ombre du Soleil. Les qualités scientifiques des cibles et les contraintes techniques définissent les « Yeux de CoRoT » : deux cercles diamétralement opposés sur le ciel de 12 degrés de rayon, centrés à l'intersection du </w:t>
      </w:r>
      <w:hyperlink r:id="rId8" w:anchor="plan_galactique" w:tgtFrame="blank" w:tooltip="Plan de symétrie de la Galaxie. La plus grande partie des étoiles de la Galaxie se trouve dans le plan galactique. " w:history="1">
        <w:r w:rsidR="008D26DB" w:rsidRPr="008D26DB">
          <w:rPr>
            <w:rStyle w:val="Lienhypertexte"/>
            <w:color w:val="000000" w:themeColor="text1"/>
          </w:rPr>
          <w:t>plan galactique</w:t>
        </w:r>
      </w:hyperlink>
      <w:r w:rsidR="008D26DB" w:rsidRPr="008D26DB">
        <w:rPr>
          <w:color w:val="000000" w:themeColor="text1"/>
        </w:rPr>
        <w:t xml:space="preserve"> et du plan équatorial. L'un, observable en hiver est situé près des constellations d'Orion et de Monoceros, l'autre observable en été près de celles de l'Aigle et de Scutum. </w:t>
      </w:r>
    </w:p>
    <w:p>
      <w:pPr>
        <w:pStyle w:val="NormalWeb"/>
        <w:spacing w:before="0" w:beforeAutospacing="0" w:after="0" w:afterAutospacing="0"/>
        <w:ind w:firstLine="708"/>
        <w:jc w:val="both"/>
      </w:pPr>
    </w:p>
    <w:p>
      <w:pPr>
        <w:pStyle w:val="NormalWeb"/>
        <w:spacing w:before="0" w:beforeAutospacing="0" w:after="0" w:afterAutospacing="0"/>
        <w:jc w:val="center"/>
        <w:rPr>
          <w:rStyle w:val="titre10"/>
          <w:rFonts w:ascii="Times New Roman" w:hAnsi="Times New Roman"/>
          <w:b/>
          <w:color w:val="000000" w:themeColor="text1"/>
          <w:sz w:val="24"/>
          <w:szCs w:val="24"/>
        </w:rPr>
      </w:pPr>
      <w:r w:rsidR="008D26DB" w:rsidRPr="008D26DB">
        <w:rPr>
          <w:rStyle w:val="titre-lettre1"/>
          <w:rFonts w:ascii="Times New Roman" w:eastAsiaTheme="majorEastAsia" w:hAnsi="Times New Roman"/>
          <w:b/>
          <w:color w:val="000000" w:themeColor="text1"/>
          <w:sz w:val="24"/>
          <w:szCs w:val="24"/>
        </w:rPr>
        <w:t>L</w:t>
      </w:r>
      <w:r w:rsidR="008D26DB" w:rsidRPr="008D26DB">
        <w:rPr>
          <w:rStyle w:val="titre10"/>
          <w:rFonts w:ascii="Times New Roman" w:hAnsi="Times New Roman"/>
          <w:b/>
          <w:color w:val="000000" w:themeColor="text1"/>
          <w:sz w:val="24"/>
          <w:szCs w:val="24"/>
        </w:rPr>
        <w:t>es cibles</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rPr>
          <w:color w:val="000000" w:themeColor="text1"/>
        </w:rPr>
      </w:pPr>
      <w:r w:rsidR="008D26DB" w:rsidRPr="008D26DB">
        <w:rPr>
          <w:color w:val="000000" w:themeColor="text1"/>
        </w:rPr>
        <w:t xml:space="preserve">Les cibles du programme de </w:t>
      </w:r>
      <w:hyperlink r:id="rId9" w:history="1">
        <w:r w:rsidR="008D26DB" w:rsidRPr="008D26DB">
          <w:rPr>
            <w:rStyle w:val="Lienhypertexte"/>
            <w:color w:val="000000" w:themeColor="text1"/>
          </w:rPr>
          <w:t>sismologie</w:t>
        </w:r>
      </w:hyperlink>
      <w:r w:rsidR="008D26DB" w:rsidRPr="008D26DB">
        <w:rPr>
          <w:color w:val="000000" w:themeColor="text1"/>
        </w:rPr>
        <w:t xml:space="preserve"> sont brillantes et leur éclat est mesuré toutes les 30 secondes, avec une précision de un dix millième. La direction de pointage est choisie de façon à observer au moins une cible de sismologie très brillante (magnitude voisine de 6, visible à l'œil nu !), pour laquelle la précision sera si bonne qu'on pourra y détecter des oscillations aussi faibles que celles observées dans le Soleil. </w:t>
      </w:r>
    </w:p>
    <w:p>
      <w:pPr>
        <w:pStyle w:val="NormalWeb"/>
        <w:spacing w:before="0" w:beforeAutospacing="0" w:after="0" w:afterAutospacing="0"/>
        <w:ind w:firstLine="708"/>
        <w:jc w:val="both"/>
      </w:pPr>
      <w:r w:rsidR="008D26DB" w:rsidRPr="008D26DB">
        <w:rPr>
          <w:color w:val="000000" w:themeColor="text1"/>
        </w:rPr>
        <w:t xml:space="preserve">Les cibles du programme de recherche d'exo-planètes sont beaucoup moins lumineuses, donc nécessitent un temps de pose plus long (8 minutes) pour obtenir la précision nécessaire à la détection des transits.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8D26DB" w:rsidRPr="008D26DB">
        <w:rPr>
          <w:rStyle w:val="titre-lettre1"/>
          <w:rFonts w:ascii="Times New Roman" w:eastAsiaTheme="majorEastAsia" w:hAnsi="Times New Roman"/>
          <w:b/>
          <w:color w:val="000000" w:themeColor="text1"/>
          <w:sz w:val="24"/>
          <w:szCs w:val="24"/>
        </w:rPr>
        <w:t>L</w:t>
      </w:r>
      <w:r w:rsidR="008D26DB" w:rsidRPr="008D26DB">
        <w:rPr>
          <w:rStyle w:val="titre10"/>
          <w:rFonts w:ascii="Times New Roman" w:hAnsi="Times New Roman"/>
          <w:b/>
          <w:color w:val="000000" w:themeColor="text1"/>
          <w:sz w:val="24"/>
          <w:szCs w:val="24"/>
        </w:rPr>
        <w:t>'orbite</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firstLine="708"/>
        <w:jc w:val="both"/>
      </w:pPr>
      <w:r w:rsidR="008D26DB" w:rsidRPr="008D26DB">
        <w:t xml:space="preserve">CoRoT fait partie du programme "petites missions" du CNES ; ce programme impose une orbite basse. Pour pouvoir observer plusieurs mois sans interruptions la même direction du ciel, la seule possibilité est d'utiliser l'orbite polaire, dont le plan reste fixe par rapport aux étoiles. L'altitude de l'orbite doit être comprise entre 800 et </w:t>
      </w:r>
      <w:smartTag w:uri="urn:schemas-microsoft-com:office:smarttags" w:element="metricconverter">
        <w:smartTagPr>
          <w:attr w:name="ProductID" w:val="900 km"/>
        </w:smartTagPr>
        <w:r w:rsidR="008D26DB" w:rsidRPr="008D26DB">
          <w:t>900 km</w:t>
        </w:r>
      </w:smartTag>
      <w:r w:rsidR="008D26DB" w:rsidRPr="008D26DB">
        <w:t xml:space="preserve">. </w:t>
      </w:r>
    </w:p>
    <w:p>
      <w:pPr>
        <w:pStyle w:val="NormalWeb"/>
        <w:spacing w:before="0" w:beforeAutospacing="0" w:after="0" w:afterAutospacing="0"/>
        <w:ind w:firstLine="708"/>
        <w:jc w:val="both"/>
      </w:pPr>
      <w:r w:rsidR="008D26DB">
        <w:t>Au-</w:t>
      </w:r>
      <w:r w:rsidR="008D26DB" w:rsidRPr="008D26DB">
        <w:t xml:space="preserve">dessus de cette altitude, les radiations solaires, surtout des </w:t>
      </w:r>
      <w:hyperlink r:id="rId10" w:anchor="proton" w:tgtFrame="blank" w:tooltip="Particule constitutive du noyau atomique. La masse du proton est de 1,672 623 1.10^-27 kg, environ 1 800 fois plus lourd qu'un électron." w:history="1">
        <w:r w:rsidR="008D26DB" w:rsidRPr="008D26DB">
          <w:rPr>
            <w:rStyle w:val="Lienhypertexte"/>
            <w:color w:val="000000" w:themeColor="text1"/>
          </w:rPr>
          <w:t>protons</w:t>
        </w:r>
      </w:hyperlink>
      <w:r w:rsidR="008D26DB" w:rsidRPr="008D26DB">
        <w:t xml:space="preserve"> très énergétiques, sont trop abondants et risquent d'endommager l'instrument. En dessous, la proximité de la Terre renforce les effets néfastes de la lumière solaire réfléchie par la Terre. Le temps de visibilité des stations sol croissant avec l'altitude, le choix final est </w:t>
      </w:r>
      <w:smartTag w:uri="urn:schemas-microsoft-com:office:smarttags" w:element="metricconverter">
        <w:smartTagPr>
          <w:attr w:name="ProductID" w:val="896 km"/>
        </w:smartTagPr>
        <w:r w:rsidR="008D26DB" w:rsidRPr="008D26DB">
          <w:t>896 km</w:t>
        </w:r>
      </w:smartTag>
      <w:r w:rsidR="008D26DB" w:rsidRPr="008D26DB">
        <w:t xml:space="preserve">. </w:t>
      </w:r>
    </w:p>
    <w:sectPr w:rsidR="008D26DB" w:rsidSect="006A3632">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E784E">
        <w:separator/>
      </w:r>
    </w:p>
  </w:endnote>
  <w:endnote w:type="continuationSeparator" w:id="1">
    <w:p>
      <w:pPr>
        <w:spacing w:after="0" w:line="240" w:lineRule="auto"/>
      </w:pPr>
      <w:r w:rsidR="00AE784E">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33E78">
      <w:t>399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E784E">
        <w:separator/>
      </w:r>
    </w:p>
  </w:footnote>
  <w:footnote w:type="continuationSeparator" w:id="1">
    <w:p>
      <w:pPr>
        <w:spacing w:after="0" w:line="240" w:lineRule="auto"/>
      </w:pPr>
      <w:r w:rsidR="00AE784E">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4" type="#_x0000_t75" style="width:3in;height:3in" o:bullet="t"/>
    </w:pict>
  </w:numPicBullet>
  <w:numPicBullet w:numPicBulletId="1">
    <w:pict>
      <v:shape id="_x0000_i1405" type="#_x0000_t75" style="width:3in;height:3in" o:bullet="t"/>
    </w:pict>
  </w:numPicBullet>
  <w:numPicBullet w:numPicBulletId="2">
    <w:pict>
      <v:shape id="_x0000_i1406" type="#_x0000_t75" style="width:3in;height:3in" o:bullet="t"/>
    </w:pict>
  </w:numPicBullet>
  <w:numPicBullet w:numPicBulletId="3">
    <w:pict>
      <v:shape id="_x0000_i1407" type="#_x0000_t75" style="width:3in;height:3in" o:bullet="t"/>
    </w:pict>
  </w:numPicBullet>
  <w:numPicBullet w:numPicBulletId="4">
    <w:pict>
      <v:shape id="_x0000_i1408" type="#_x0000_t75" style="width:3in;height:3in" o:bullet="t"/>
    </w:pict>
  </w:numPicBullet>
  <w:numPicBullet w:numPicBulletId="5">
    <w:pict>
      <v:shape id="_x0000_i1409" type="#_x0000_t75" style="width:3in;height:3in" o:bullet="t"/>
    </w:pict>
  </w:numPicBullet>
  <w:numPicBullet w:numPicBulletId="6">
    <w:pict>
      <v:shape id="_x0000_i1410" type="#_x0000_t75" style="width:3in;height:3in" o:bullet="t"/>
    </w:pict>
  </w:numPicBullet>
  <w:numPicBullet w:numPicBulletId="7">
    <w:pict>
      <v:shape id="_x0000_i1411" type="#_x0000_t75" style="width:3in;height:3in" o:bullet="t"/>
    </w:pict>
  </w:numPicBullet>
  <w:numPicBullet w:numPicBulletId="8">
    <w:pict>
      <v:shape id="_x0000_i1412" type="#_x0000_t75" style="width:3in;height:3in" o:bullet="t"/>
    </w:pict>
  </w:numPicBullet>
  <w:numPicBullet w:numPicBulletId="9">
    <w:pict>
      <v:shape id="_x0000_i1413" type="#_x0000_t75" style="width:3in;height:3in" o:bullet="t"/>
    </w:pict>
  </w:numPicBullet>
  <w:numPicBullet w:numPicBulletId="10">
    <w:pict>
      <v:shape id="_x0000_i1414" type="#_x0000_t75" style="width:3in;height:3in" o:bullet="t"/>
    </w:pict>
  </w:numPicBullet>
  <w:numPicBullet w:numPicBulletId="11">
    <w:pict>
      <v:shape id="_x0000_i1415" type="#_x0000_t75" style="width:3in;height:3in" o:bullet="t"/>
    </w:pict>
  </w:numPicBullet>
  <w:numPicBullet w:numPicBulletId="12">
    <w:pict>
      <v:shape id="_x0000_i1416" type="#_x0000_t75" style="width:3in;height:3in" o:bullet="t"/>
    </w:pict>
  </w:numPicBullet>
  <w:numPicBullet w:numPicBulletId="13">
    <w:pict>
      <v:shape id="_x0000_i1417" type="#_x0000_t75" style="width:3in;height:3in" o:bullet="t"/>
    </w:pict>
  </w:numPicBullet>
  <w:numPicBullet w:numPicBulletId="14">
    <w:pict>
      <v:shape id="_x0000_i1418" type="#_x0000_t75" style="width:3in;height:3in" o:bullet="t"/>
    </w:pict>
  </w:numPicBullet>
  <w:numPicBullet w:numPicBulletId="15">
    <w:pict>
      <v:shape id="_x0000_i1419" type="#_x0000_t75" style="width:3in;height:3in" o:bullet="t"/>
    </w:pict>
  </w:numPicBullet>
  <w:numPicBullet w:numPicBulletId="16">
    <w:pict>
      <v:shape id="_x0000_i1420" type="#_x0000_t75" style="width:11.25pt;height:9.75pt" o:bullet="t">
        <v:imagedata r:id="rId1" o:title="clip_image001"/>
      </v:shape>
    </w:pict>
  </w:numPicBullet>
  <w:numPicBullet w:numPicBulletId="17">
    <w:pict>
      <v:shape id="_x0000_i1421" type="#_x0000_t75" style="width:3in;height:3in" o:bullet="t"/>
    </w:pict>
  </w:numPicBullet>
  <w:numPicBullet w:numPicBulletId="18">
    <w:pict>
      <v:shape id="_x0000_i1422" type="#_x0000_t75" style="width:3in;height:3in" o:bullet="t"/>
    </w:pict>
  </w:numPicBullet>
  <w:numPicBullet w:numPicBulletId="19">
    <w:pict>
      <v:shape id="_x0000_i1423" type="#_x0000_t75" style="width:3in;height:3in" o:bullet="t"/>
    </w:pict>
  </w:numPicBullet>
  <w:numPicBullet w:numPicBulletId="20">
    <w:pict>
      <v:shape id="_x0000_i1424" type="#_x0000_t75" style="width:3in;height:3in" o:bullet="t"/>
    </w:pict>
  </w:numPicBullet>
  <w:numPicBullet w:numPicBulletId="21">
    <w:pict>
      <v:shape id="_x0000_i1425" type="#_x0000_t75" style="width:3in;height:3in" o:bullet="t"/>
    </w:pict>
  </w:numPicBullet>
  <w:numPicBullet w:numPicBulletId="22">
    <w:pict>
      <v:shape id="_x0000_i1426" type="#_x0000_t75" style="width:3in;height:3in" o:bullet="t"/>
    </w:pict>
  </w:numPicBullet>
  <w:numPicBullet w:numPicBulletId="23">
    <w:pict>
      <v:shape id="_x0000_i1427" type="#_x0000_t75" style="width:3in;height:3in" o:bullet="t"/>
    </w:pict>
  </w:numPicBullet>
  <w:numPicBullet w:numPicBulletId="24">
    <w:pict>
      <v:shape id="_x0000_i1428" type="#_x0000_t75" style="width:3in;height:3in" o:bullet="t"/>
    </w:pict>
  </w:numPicBullet>
  <w:abstractNum w:abstractNumId="0">
    <w:nsid w:val="064122E0"/>
    <w:multiLevelType w:val="multilevel"/>
    <w:tmpl w:val="95101466"/>
    <w:lvl w:ilvl="0">
      <w:start w:val="1"/>
      <w:numFmt w:val="bullet"/>
      <w:lvlText w:val=""/>
      <w:lvlPicBulletId w:val="18"/>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4F7727B"/>
    <w:multiLevelType w:val="multilevel"/>
    <w:tmpl w:val="EA74F4B2"/>
    <w:lvl w:ilvl="0">
      <w:start w:val="1"/>
      <w:numFmt w:val="bullet"/>
      <w:lvlText w:val=""/>
      <w:lvlPicBulletId w:val="1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69473E5"/>
    <w:multiLevelType w:val="multilevel"/>
    <w:tmpl w:val="95101466"/>
    <w:lvl w:ilvl="0">
      <w:start w:val="1"/>
      <w:numFmt w:val="bullet"/>
      <w:lvlText w:val=""/>
      <w:lvlPicBulletId w:val="17"/>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D131B3C"/>
    <w:multiLevelType w:val="multilevel"/>
    <w:tmpl w:val="2DF0CA56"/>
    <w:lvl w:ilvl="0">
      <w:start w:val="1"/>
      <w:numFmt w:val="bullet"/>
      <w:lvlText w:val=""/>
      <w:lvlPicBulletId w:val="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0981809"/>
    <w:multiLevelType w:val="multilevel"/>
    <w:tmpl w:val="DFBA9A6A"/>
    <w:lvl w:ilvl="0">
      <w:start w:val="1"/>
      <w:numFmt w:val="bullet"/>
      <w:lvlText w:val=""/>
      <w:lvlPicBulletId w:val="2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5C12110"/>
    <w:multiLevelType w:val="multilevel"/>
    <w:tmpl w:val="50E84F0C"/>
    <w:lvl w:ilvl="0">
      <w:start w:val="1"/>
      <w:numFmt w:val="bullet"/>
      <w:lvlText w:val=""/>
      <w:lvlPicBulletId w:val="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E965D47"/>
    <w:multiLevelType w:val="multilevel"/>
    <w:tmpl w:val="7FD48D14"/>
    <w:lvl w:ilvl="0">
      <w:start w:val="1"/>
      <w:numFmt w:val="bullet"/>
      <w:lvlText w:val=""/>
      <w:lvlPicBulletId w:val="1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12B0A6F"/>
    <w:multiLevelType w:val="multilevel"/>
    <w:tmpl w:val="392822C2"/>
    <w:lvl w:ilvl="0">
      <w:start w:val="1"/>
      <w:numFmt w:val="bullet"/>
      <w:lvlText w:val=""/>
      <w:lvlPicBulletId w:val="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A2316A1"/>
    <w:multiLevelType w:val="multilevel"/>
    <w:tmpl w:val="A2FE8520"/>
    <w:lvl w:ilvl="0">
      <w:start w:val="1"/>
      <w:numFmt w:val="bullet"/>
      <w:lvlText w:val=""/>
      <w:lvlPicBulletId w:val="1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E946A29"/>
    <w:multiLevelType w:val="multilevel"/>
    <w:tmpl w:val="AF2E0E72"/>
    <w:lvl w:ilvl="0">
      <w:start w:val="1"/>
      <w:numFmt w:val="bullet"/>
      <w:lvlText w:val=""/>
      <w:lvlPicBulletId w:val="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5285F43"/>
    <w:multiLevelType w:val="multilevel"/>
    <w:tmpl w:val="8FB81424"/>
    <w:lvl w:ilvl="0">
      <w:start w:val="1"/>
      <w:numFmt w:val="bullet"/>
      <w:lvlText w:val=""/>
      <w:lvlPicBulletId w:val="2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68C26BC"/>
    <w:multiLevelType w:val="multilevel"/>
    <w:tmpl w:val="2C74A476"/>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BBB1B2B"/>
    <w:multiLevelType w:val="multilevel"/>
    <w:tmpl w:val="EA74F4B2"/>
    <w:lvl w:ilvl="0">
      <w:start w:val="1"/>
      <w:numFmt w:val="bullet"/>
      <w:lvlText w:val=""/>
      <w:lvlPicBulletId w:val="1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BE67B89"/>
    <w:multiLevelType w:val="multilevel"/>
    <w:tmpl w:val="DFBA9A6A"/>
    <w:lvl w:ilvl="0">
      <w:start w:val="1"/>
      <w:numFmt w:val="bullet"/>
      <w:lvlText w:val=""/>
      <w:lvlPicBulletId w:val="2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C6E6CB5"/>
    <w:multiLevelType w:val="multilevel"/>
    <w:tmpl w:val="F88E2B38"/>
    <w:lvl w:ilvl="0">
      <w:start w:val="1"/>
      <w:numFmt w:val="bullet"/>
      <w:lvlText w:val=""/>
      <w:lvlPicBulletId w:val="1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C8D1331"/>
    <w:multiLevelType w:val="multilevel"/>
    <w:tmpl w:val="2DF0CA56"/>
    <w:lvl w:ilvl="0">
      <w:start w:val="1"/>
      <w:numFmt w:val="bullet"/>
      <w:lvlText w:val=""/>
      <w:lvlPicBulletId w:val="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2072217"/>
    <w:multiLevelType w:val="multilevel"/>
    <w:tmpl w:val="392822C2"/>
    <w:lvl w:ilvl="0">
      <w:start w:val="1"/>
      <w:numFmt w:val="bullet"/>
      <w:lvlText w:val=""/>
      <w:lvlPicBulletId w:val="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5A44E92"/>
    <w:multiLevelType w:val="multilevel"/>
    <w:tmpl w:val="B86CA03A"/>
    <w:lvl w:ilvl="0">
      <w:start w:val="1"/>
      <w:numFmt w:val="bullet"/>
      <w:lvlText w:val=""/>
      <w:lvlPicBulletId w:val="1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C9B77C3"/>
    <w:multiLevelType w:val="multilevel"/>
    <w:tmpl w:val="2C74A476"/>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27271CC"/>
    <w:multiLevelType w:val="multilevel"/>
    <w:tmpl w:val="50E84F0C"/>
    <w:lvl w:ilvl="0">
      <w:start w:val="1"/>
      <w:numFmt w:val="bullet"/>
      <w:lvlText w:val=""/>
      <w:lvlPicBulletId w:val="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325449D"/>
    <w:multiLevelType w:val="multilevel"/>
    <w:tmpl w:val="1A8CCA96"/>
    <w:lvl w:ilvl="0">
      <w:start w:val="1"/>
      <w:numFmt w:val="bullet"/>
      <w:lvlText w:val=""/>
      <w:lvlPicBulletId w:val="2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2D641C0"/>
    <w:multiLevelType w:val="multilevel"/>
    <w:tmpl w:val="8FB81424"/>
    <w:lvl w:ilvl="0">
      <w:start w:val="1"/>
      <w:numFmt w:val="bullet"/>
      <w:lvlText w:val=""/>
      <w:lvlPicBulletId w:val="2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4F479BB"/>
    <w:multiLevelType w:val="multilevel"/>
    <w:tmpl w:val="AA74B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6AF6CC5"/>
    <w:multiLevelType w:val="multilevel"/>
    <w:tmpl w:val="AF2E0E72"/>
    <w:lvl w:ilvl="0">
      <w:start w:val="1"/>
      <w:numFmt w:val="bullet"/>
      <w:lvlText w:val=""/>
      <w:lvlPicBulletId w:val="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9C25CB6"/>
    <w:multiLevelType w:val="multilevel"/>
    <w:tmpl w:val="1A8CCA96"/>
    <w:lvl w:ilvl="0">
      <w:start w:val="1"/>
      <w:numFmt w:val="bullet"/>
      <w:lvlText w:val=""/>
      <w:lvlPicBulletId w:val="1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9D93985"/>
    <w:multiLevelType w:val="multilevel"/>
    <w:tmpl w:val="F88E2B38"/>
    <w:lvl w:ilvl="0">
      <w:start w:val="1"/>
      <w:numFmt w:val="bullet"/>
      <w:lvlText w:val=""/>
      <w:lvlPicBulletId w:val="1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AC525B3"/>
    <w:multiLevelType w:val="multilevel"/>
    <w:tmpl w:val="B86CA03A"/>
    <w:lvl w:ilvl="0">
      <w:start w:val="1"/>
      <w:numFmt w:val="bullet"/>
      <w:lvlText w:val=""/>
      <w:lvlPicBulletId w:val="1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8"/>
  </w:num>
  <w:num w:numId="2">
    <w:abstractNumId w:val="11"/>
  </w:num>
  <w:num w:numId="3">
    <w:abstractNumId w:val="15"/>
  </w:num>
  <w:num w:numId="4">
    <w:abstractNumId w:val="3"/>
  </w:num>
  <w:num w:numId="5">
    <w:abstractNumId w:val="23"/>
  </w:num>
  <w:num w:numId="6">
    <w:abstractNumId w:val="9"/>
  </w:num>
  <w:num w:numId="7">
    <w:abstractNumId w:val="7"/>
  </w:num>
  <w:num w:numId="8">
    <w:abstractNumId w:val="16"/>
  </w:num>
  <w:num w:numId="9">
    <w:abstractNumId w:val="5"/>
  </w:num>
  <w:num w:numId="10">
    <w:abstractNumId w:val="19"/>
  </w:num>
  <w:num w:numId="11">
    <w:abstractNumId w:val="14"/>
  </w:num>
  <w:num w:numId="12">
    <w:abstractNumId w:val="25"/>
  </w:num>
  <w:num w:numId="13">
    <w:abstractNumId w:val="12"/>
  </w:num>
  <w:num w:numId="14">
    <w:abstractNumId w:val="1"/>
  </w:num>
  <w:num w:numId="15">
    <w:abstractNumId w:val="17"/>
  </w:num>
  <w:num w:numId="16">
    <w:abstractNumId w:val="26"/>
  </w:num>
  <w:num w:numId="17">
    <w:abstractNumId w:va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0"/>
  </w:num>
  <w:num w:numId="21">
    <w:abstractNumId w:val="24"/>
  </w:num>
  <w:num w:numId="22">
    <w:abstractNumId w:val="20"/>
  </w:num>
  <w:num w:numId="23">
    <w:abstractNumId w:val="6"/>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1"/>
  </w:num>
  <w:num w:numId="27">
    <w:abstractNumId w:val="13"/>
  </w:num>
  <w:num w:numId="28">
    <w:abstractNumId w:val="4"/>
  </w:num>
  <w:num w:numId="29">
    <w:abstractNumId w:val="22"/>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33E78"/>
    <w:rsid w:val="0044206D"/>
    <w:rsid w:val="006A3632"/>
    <w:rsid w:val="00733E78"/>
    <w:rsid w:val="008D26DB"/>
    <w:rsid w:val="00AE784E"/>
    <w:rsid w:val="00AF3A39"/>
    <w:rsid w:val="00DC4369"/>
    <w:rsid w:val="00E653D7"/>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A3632"/>
  </w:style>
  <w:style w:type="paragraph" w:styleId="Titre1">
    <w:name w:val="heading 1"/>
    <w:basedOn w:val="Normal"/>
    <w:link w:val="Titre1Car"/>
    <w:uiPriority w:val="9"/>
    <w:qFormat/>
    <w:rsid w:val="008D26DB"/>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8D26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8D26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33E7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33E78"/>
  </w:style>
  <w:style w:type="paragraph" w:styleId="Pieddepage">
    <w:name w:val="footer"/>
    <w:basedOn w:val="Normal"/>
    <w:link w:val="PieddepageCar"/>
    <w:uiPriority w:val="99"/>
    <w:semiHidden/>
    <w:unhideWhenUsed/>
    <w:rsid w:val="00733E7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33E78"/>
  </w:style>
  <w:style w:type="paragraph" w:styleId="Textedebulles">
    <w:name w:val="Balloon Text"/>
    <w:basedOn w:val="Normal"/>
    <w:link w:val="TextedebullesCar"/>
    <w:uiPriority w:val="99"/>
    <w:semiHidden/>
    <w:unhideWhenUsed/>
    <w:rsid w:val="00733E7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3E78"/>
    <w:rPr>
      <w:rFonts w:ascii="Tahoma" w:hAnsi="Tahoma" w:cs="Tahoma"/>
      <w:sz w:val="16"/>
      <w:szCs w:val="16"/>
    </w:rPr>
  </w:style>
  <w:style w:type="paragraph" w:styleId="NormalWeb">
    <w:name w:val="Normal (Web)"/>
    <w:basedOn w:val="Normal"/>
    <w:uiPriority w:val="99"/>
    <w:unhideWhenUsed/>
    <w:rsid w:val="00DC43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8D26DB"/>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8D26D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8D26DB"/>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8D26DB"/>
    <w:rPr>
      <w:strike w:val="0"/>
      <w:dstrike w:val="0"/>
      <w:color w:val="66FFFF"/>
      <w:u w:val="none"/>
      <w:effect w:val="none"/>
    </w:rPr>
  </w:style>
  <w:style w:type="character" w:styleId="Lienhypertextesuivivisit">
    <w:name w:val="FollowedHyperlink"/>
    <w:basedOn w:val="Policepardfaut"/>
    <w:uiPriority w:val="99"/>
    <w:semiHidden/>
    <w:unhideWhenUsed/>
    <w:rsid w:val="008D26DB"/>
    <w:rPr>
      <w:color w:val="800080" w:themeColor="followedHyperlink"/>
      <w:u w:val="single"/>
    </w:rPr>
  </w:style>
  <w:style w:type="character" w:styleId="MachinecrireHTML">
    <w:name w:val="HTML Typewriter"/>
    <w:basedOn w:val="Policepardfaut"/>
    <w:uiPriority w:val="99"/>
    <w:semiHidden/>
    <w:unhideWhenUsed/>
    <w:rsid w:val="008D26DB"/>
    <w:rPr>
      <w:rFonts w:ascii="Courier New" w:eastAsia="Times New Roman" w:hAnsi="Courier New" w:cs="Courier New" w:hint="default"/>
      <w:sz w:val="20"/>
      <w:szCs w:val="20"/>
    </w:rPr>
  </w:style>
  <w:style w:type="paragraph" w:styleId="NoSpacing">
    <w:name w:val="No Spacing"/>
    <w:uiPriority w:val="1"/>
    <w:semiHidden/>
    <w:qFormat/>
    <w:rsid w:val="008D26D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8D26DB"/>
    <w:pPr>
      <w:ind w:left="720"/>
      <w:contextualSpacing/>
    </w:pPr>
  </w:style>
  <w:style w:type="character" w:customStyle="1" w:styleId="titre-lettre1">
    <w:name w:val="titre-lettre1"/>
    <w:basedOn w:val="Policepardfaut"/>
    <w:rsid w:val="008D26DB"/>
    <w:rPr>
      <w:rFonts w:ascii="Trebuchet MS" w:hAnsi="Trebuchet MS" w:hint="default"/>
      <w:color w:val="E3F5FF"/>
      <w:sz w:val="60"/>
      <w:szCs w:val="60"/>
    </w:rPr>
  </w:style>
  <w:style w:type="character" w:customStyle="1" w:styleId="titre10">
    <w:name w:val="titre1"/>
    <w:basedOn w:val="Policepardfaut"/>
    <w:rsid w:val="008D26DB"/>
    <w:rPr>
      <w:rFonts w:ascii="Trebuchet MS" w:hAnsi="Trebuchet MS" w:hint="default"/>
      <w:color w:val="E3F5FF"/>
      <w:sz w:val="36"/>
      <w:szCs w:val="36"/>
    </w:rPr>
  </w:style>
  <w:style w:type="character" w:customStyle="1" w:styleId="titretable1">
    <w:name w:val="titretable1"/>
    <w:basedOn w:val="Policepardfaut"/>
    <w:rsid w:val="008D26DB"/>
    <w:rPr>
      <w:rFonts w:ascii="Trebuchet MS" w:hAnsi="Trebuchet MS" w:hint="default"/>
      <w:b/>
      <w:bCs/>
      <w:color w:val="F2E9A3"/>
    </w:rPr>
  </w:style>
  <w:style w:type="character" w:styleId="Accentuation">
    <w:name w:val="Emphasis"/>
    <w:basedOn w:val="Policepardfaut"/>
    <w:uiPriority w:val="20"/>
    <w:qFormat/>
    <w:rsid w:val="008D26DB"/>
    <w:rPr>
      <w:i/>
      <w:iCs/>
    </w:rPr>
  </w:style>
</w:styles>
</file>

<file path=word/webSettings.xml><?xml version="1.0" encoding="utf-8"?>
<w:webSettings xmlns:r="http://schemas.openxmlformats.org/officeDocument/2006/relationships" xmlns:w="http://schemas.openxmlformats.org/wordprocessingml/2006/3/main">
  <w:divs>
    <w:div w:id="216748506">
      <w:bodyDiv w:val="1"/>
      <w:marLeft w:val="0"/>
      <w:marRight w:val="0"/>
      <w:marTop w:val="0"/>
      <w:marBottom w:val="0"/>
      <w:divBdr>
        <w:top w:val="none" w:sz="0" w:space="0" w:color="auto"/>
        <w:left w:val="none" w:sz="0" w:space="0" w:color="auto"/>
        <w:bottom w:val="none" w:sz="0" w:space="0" w:color="auto"/>
        <w:right w:val="none" w:sz="0" w:space="0" w:color="auto"/>
      </w:divBdr>
    </w:div>
    <w:div w:id="1241259098">
      <w:bodyDiv w:val="1"/>
      <w:marLeft w:val="0"/>
      <w:marRight w:val="0"/>
      <w:marTop w:val="0"/>
      <w:marBottom w:val="0"/>
      <w:divBdr>
        <w:top w:val="none" w:sz="0" w:space="0" w:color="auto"/>
        <w:left w:val="none" w:sz="0" w:space="0" w:color="auto"/>
        <w:bottom w:val="none" w:sz="0" w:space="0" w:color="auto"/>
        <w:right w:val="none" w:sz="0" w:space="0" w:color="auto"/>
      </w:divBdr>
    </w:div>
    <w:div w:id="164627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4.obspm.fr/exoplanetes/glossaire.html#plan_galactiqu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edia4.obspm.fr/exoplanetes/pages_outil-unites/unite-magnitud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media4.obspm.fr/exoplanetes/glossaire.html#proton" TargetMode="External"/><Relationship Id="rId4" Type="http://schemas.openxmlformats.org/officeDocument/2006/relationships/webSettings" Target="webSettings.xml"/><Relationship Id="rId9" Type="http://schemas.openxmlformats.org/officeDocument/2006/relationships/hyperlink" Target="http://media4.obspm.fr/exoplanetes/pages_corot-methodes/sismologie.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542</Words>
  <Characters>2986</Characters>
  <Application>Microsoft Office Word</Application>
  <DocSecurity>0</DocSecurity>
  <Lines>24</Lines>
  <Paragraphs>7</Paragraphs>
  <ScaleCrop>false</ScaleCrop>
  <Company> </Company>
  <LinksUpToDate>false</LinksUpToDate>
  <CharactersWithSpaces>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2006-09-02T16:00:00Z</dcterms:created>
  <dcterms:modified xsi:type="dcterms:W3CDTF">2006-09-04T11:30:00Z</dcterms:modified>
</cp:coreProperties>
</file>