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4427D">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4427D">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B4427D">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bCs/>
          <w:color w:val="000000" w:themeColor="text1"/>
        </w:rPr>
      </w:pPr>
    </w:p>
    <w:p>
      <w:pPr>
        <w:pStyle w:val="NormalWeb"/>
        <w:spacing w:before="0" w:beforeAutospacing="0" w:after="0" w:afterAutospacing="0"/>
        <w:ind w:firstLine="708"/>
        <w:jc w:val="both"/>
        <w:rPr>
          <w:bCs/>
          <w:color w:val="000000" w:themeColor="text1"/>
        </w:rPr>
      </w:pPr>
      <w:r w:rsidR="0070024A">
        <w:rPr>
          <w:bCs/>
          <w:color w:val="000000" w:themeColor="text1"/>
        </w:rPr>
        <w:t xml:space="preserve">Un événement du neuvième groupe, une collision qui causerait de graves dégâts au niveau régional, n’aurait lieu qu’une fois dans 1000 à 100.000 ans, tandis qu’une collision de dixième classe qui entraînerait une catastrophe climatique globale arriverait moins d’une fois tous les 100.000 ans. </w:t>
      </w:r>
    </w:p>
    <w:p>
      <w:pPr>
        <w:pStyle w:val="NormalWeb"/>
        <w:spacing w:before="0" w:beforeAutospacing="0" w:after="0" w:afterAutospacing="0"/>
        <w:ind w:firstLine="708"/>
        <w:jc w:val="both"/>
        <w:rPr>
          <w:bCs/>
          <w:color w:val="000000" w:themeColor="text1"/>
        </w:rPr>
      </w:pPr>
      <w:r w:rsidR="0070024A">
        <w:rPr>
          <w:bCs/>
          <w:color w:val="000000" w:themeColor="text1"/>
        </w:rPr>
        <w:t xml:space="preserve">Pour les scientifiques, il est très peu probable que les degrés élevés auraient souvent la chance d’entrer en jeu. Selon “l’inventeur” de l’échelle lui-même, aucun objet détecté jusqu’à ce jour ne pourrait être classé que dans la catégorie zéro. </w:t>
      </w:r>
    </w:p>
    <w:p>
      <w:pPr>
        <w:pStyle w:val="NormalWeb"/>
        <w:spacing w:before="0" w:beforeAutospacing="0" w:after="0" w:afterAutospacing="0"/>
        <w:ind w:firstLine="708"/>
        <w:jc w:val="both"/>
        <w:rPr>
          <w:bCs/>
          <w:color w:val="000000" w:themeColor="text1"/>
        </w:rPr>
      </w:pPr>
      <w:r w:rsidR="0070024A">
        <w:rPr>
          <w:bCs/>
          <w:color w:val="000000" w:themeColor="text1"/>
        </w:rPr>
        <w:t xml:space="preserve">Tout comme Cérès, Pluton avait lui aussi apporté la solution d’un problème posé par un “défaut” - ce fut au moins ce que l’on pensa à la première vue. Déjà en 1915, Percival Lowell, le créateur du fameux observatoire du même nom à Flagstaff, Massachusetts, avait expliqué que des perturbations dans les orbites d’Uranus et de Neptune prouveraient la présence d’une planète géante jusqu’alors inconnue aux bords extrêmes du Système solaire. </w:t>
      </w:r>
    </w:p>
    <w:p>
      <w:pPr>
        <w:pStyle w:val="NormalWeb"/>
        <w:spacing w:before="0" w:beforeAutospacing="0" w:after="0" w:afterAutospacing="0"/>
        <w:ind w:firstLine="708"/>
        <w:jc w:val="both"/>
        <w:rPr>
          <w:bCs/>
          <w:color w:val="000000" w:themeColor="text1"/>
        </w:rPr>
      </w:pPr>
      <w:r w:rsidR="0070024A">
        <w:rPr>
          <w:bCs/>
          <w:color w:val="000000" w:themeColor="text1"/>
        </w:rPr>
        <w:t xml:space="preserve">Mais déjà peu après sa découverte quinze ans plus tard, les premières voix se furent entendre proclamant que Pluton ressemblerait plutôt à un astéroïde qu’à une planète. </w:t>
      </w:r>
    </w:p>
    <w:p>
      <w:pPr>
        <w:pStyle w:val="NormalWeb"/>
        <w:spacing w:before="0" w:beforeAutospacing="0" w:after="0" w:afterAutospacing="0"/>
        <w:ind w:firstLine="708"/>
        <w:jc w:val="both"/>
        <w:rPr>
          <w:bCs/>
          <w:color w:val="000000" w:themeColor="text1"/>
        </w:rPr>
      </w:pPr>
      <w:r w:rsidR="0070024A">
        <w:rPr>
          <w:bCs/>
          <w:color w:val="000000" w:themeColor="text1"/>
        </w:rPr>
        <w:t xml:space="preserve">Et lorsqu’en 1978 le “surgissement” de son satellite Charon prouva que ce ne serait certainement pas Pluton qui livrerait la masse réclamée par Lowell, on se rappela l’astrophysicien Gérard Pieter Kuiper qui, après avoir pris des mesures de la planète en 1950, avait annoncé l’existence d’une deuxième ceinture d’astéroïdes, située plus ou moins à la même distance du </w:t>
      </w:r>
      <w:hyperlink r:id="rId6" w:tgtFrame="astro2" w:history="1">
        <w:r w:rsidR="0070024A">
          <w:rPr>
            <w:rStyle w:val="Lienhypertexte"/>
            <w:rFonts w:eastAsiaTheme="majorEastAsia"/>
            <w:color w:val="000000" w:themeColor="text1"/>
          </w:rPr>
          <w:t>Soleil</w:t>
        </w:r>
      </w:hyperlink>
      <w:r w:rsidR="0070024A">
        <w:rPr>
          <w:bCs/>
          <w:color w:val="000000" w:themeColor="text1"/>
        </w:rPr>
        <w:t xml:space="preserve"> que la planète si chère à l’observatoire de Flagstaff. </w:t>
      </w:r>
    </w:p>
    <w:p>
      <w:pPr>
        <w:pStyle w:val="NormalWeb"/>
        <w:spacing w:before="0" w:beforeAutospacing="0" w:after="0" w:afterAutospacing="0"/>
        <w:ind w:firstLine="708"/>
        <w:jc w:val="both"/>
        <w:rPr>
          <w:bCs/>
          <w:color w:val="000000" w:themeColor="text1"/>
        </w:rPr>
      </w:pPr>
      <w:r w:rsidR="0070024A">
        <w:rPr>
          <w:bCs/>
          <w:color w:val="000000" w:themeColor="text1"/>
        </w:rPr>
        <w:t xml:space="preserve">Toutefois, ce ne fut qu’en 1992 que les premiers objets de la </w:t>
      </w:r>
      <w:hyperlink r:id="rId7" w:tgtFrame="astro2" w:history="1">
        <w:r w:rsidR="0070024A">
          <w:rPr>
            <w:rStyle w:val="Lienhypertexte"/>
            <w:rFonts w:eastAsiaTheme="majorEastAsia"/>
            <w:color w:val="000000" w:themeColor="text1"/>
          </w:rPr>
          <w:t>ceinture de Kuiper</w:t>
        </w:r>
      </w:hyperlink>
      <w:r w:rsidR="0070024A">
        <w:rPr>
          <w:bCs/>
          <w:color w:val="000000" w:themeColor="text1"/>
        </w:rPr>
        <w:t xml:space="preserve"> se montrèrent enfin dans les télescopes. La ceinture prédite par Kuiper ne devrait pourtant pas rester la dernière que l'on découvrirait dans notre système solaire. </w:t>
      </w:r>
    </w:p>
    <w:p>
      <w:pPr>
        <w:pStyle w:val="NormalWeb"/>
        <w:spacing w:before="0" w:beforeAutospacing="0" w:after="0" w:afterAutospacing="0"/>
        <w:ind w:firstLine="708"/>
        <w:jc w:val="both"/>
        <w:rPr>
          <w:bCs/>
          <w:color w:val="000000" w:themeColor="text1"/>
        </w:rPr>
      </w:pPr>
      <w:r w:rsidR="0070024A">
        <w:rPr>
          <w:bCs/>
          <w:color w:val="000000" w:themeColor="text1"/>
        </w:rPr>
        <w:t xml:space="preserve">C'est que depuis peu, les astronomes parlent de deux </w:t>
      </w:r>
      <w:hyperlink r:id="rId8" w:tgtFrame="astro2" w:history="1">
        <w:r w:rsidR="0070024A">
          <w:rPr>
            <w:rStyle w:val="Lienhypertexte"/>
            <w:rFonts w:eastAsiaTheme="majorEastAsia"/>
            <w:color w:val="000000" w:themeColor="text1"/>
          </w:rPr>
          <w:t>nouvelles ceintures</w:t>
        </w:r>
      </w:hyperlink>
      <w:r w:rsidR="0070024A">
        <w:rPr>
          <w:bCs/>
          <w:color w:val="000000" w:themeColor="text1"/>
        </w:rPr>
        <w:t xml:space="preserve"> dont la plus proche tournerait autour de l'orbite terrestre alors que la deuxième se tiendrait à la hauteur de Mercure. </w:t>
      </w:r>
    </w:p>
    <w:p>
      <w:pPr>
        <w:pStyle w:val="NormalWeb"/>
        <w:spacing w:before="0" w:beforeAutospacing="0" w:after="0" w:afterAutospacing="0"/>
        <w:ind w:firstLine="708"/>
        <w:jc w:val="both"/>
        <w:rPr>
          <w:bCs/>
          <w:color w:val="000000" w:themeColor="text1"/>
        </w:rPr>
      </w:pPr>
      <w:r w:rsidR="0070024A">
        <w:rPr>
          <w:bCs/>
          <w:color w:val="000000" w:themeColor="text1"/>
        </w:rPr>
        <w:t>Une zone de stabilité orbitale fut aussi identifiée entre Neptune et Uranus dont les particularités ressemblent fortement au caractère de la région de Pluton et de ses compagnons.</w:t>
      </w:r>
    </w:p>
    <w:p>
      <w:pPr>
        <w:pStyle w:val="NormalWeb"/>
        <w:spacing w:before="0" w:beforeAutospacing="0" w:after="0" w:afterAutospacing="0"/>
        <w:ind w:firstLine="708"/>
        <w:jc w:val="both"/>
        <w:rPr>
          <w:bCs/>
          <w:color w:val="000000" w:themeColor="text1"/>
        </w:rPr>
      </w:pPr>
      <w:r w:rsidR="0070024A">
        <w:rPr>
          <w:bCs/>
          <w:color w:val="000000" w:themeColor="text1"/>
        </w:rPr>
        <w:t xml:space="preserve">Tandis qu’en 1891, grâce à Wolf et les facultés de l’astrophotographie, le nombre des astéroïdes nouvellement découverts était très vite monté jusqu’à dix par année - un chiffre sensationnel pour l’époque - et qu’en 1906, on avait déjà atteint les cent par année, une mission de recherche entamée par l’observatoire du Mont Palomar en 1975 fit augmenter à un millier le nombre des trouvailles annuelles. </w:t>
      </w:r>
    </w:p>
    <w:p>
      <w:pPr>
        <w:pStyle w:val="NormalWeb"/>
        <w:spacing w:before="0" w:beforeAutospacing="0" w:after="0" w:afterAutospacing="0"/>
        <w:ind w:firstLine="708"/>
        <w:jc w:val="both"/>
        <w:rPr>
          <w:bCs/>
          <w:color w:val="000000" w:themeColor="text1"/>
        </w:rPr>
      </w:pPr>
      <w:r w:rsidR="0070024A">
        <w:rPr>
          <w:bCs/>
          <w:color w:val="000000" w:themeColor="text1"/>
        </w:rPr>
        <w:t xml:space="preserve">Ce fut dans le cadre de cette mission que l’Américaine Helin tomba sur 2062 </w:t>
      </w:r>
      <w:hyperlink r:id="rId9" w:tgtFrame="astro2" w:history="1">
        <w:r w:rsidR="0070024A">
          <w:rPr>
            <w:rStyle w:val="Lienhypertexte"/>
            <w:rFonts w:eastAsiaTheme="majorEastAsia"/>
            <w:color w:val="000000" w:themeColor="text1"/>
          </w:rPr>
          <w:t>Aten</w:t>
        </w:r>
      </w:hyperlink>
      <w:r w:rsidR="0070024A">
        <w:rPr>
          <w:bCs/>
          <w:color w:val="000000" w:themeColor="text1"/>
        </w:rPr>
        <w:t xml:space="preserve">, le prototype des petits corps qui s’aventurent pour la plupart du temps à l’intérieur de l’orbite terrestre. - L’année 1996 fut finalement la première à apporter une “récolte” de 10.000 petites planètes inconnues à ce jour. </w:t>
      </w:r>
    </w:p>
    <w:p>
      <w:pPr>
        <w:pStyle w:val="NormalWeb"/>
        <w:spacing w:before="0" w:beforeAutospacing="0" w:after="0" w:afterAutospacing="0"/>
        <w:ind w:firstLine="708"/>
        <w:jc w:val="both"/>
        <w:rPr>
          <w:bCs/>
          <w:color w:val="000000" w:themeColor="text1"/>
        </w:rPr>
      </w:pPr>
      <w:r w:rsidR="0070024A">
        <w:rPr>
          <w:bCs/>
          <w:color w:val="000000" w:themeColor="text1"/>
        </w:rPr>
        <w:t xml:space="preserve">Mais tous ces succès ont l’air maigre face aux 30.000 astéroïdes que le nouveau télescope </w:t>
      </w:r>
      <w:hyperlink r:id="rId10" w:tgtFrame="astro2" w:history="1">
        <w:r w:rsidR="0070024A">
          <w:rPr>
            <w:rStyle w:val="Lienhypertexte"/>
            <w:rFonts w:eastAsiaTheme="majorEastAsia"/>
            <w:color w:val="000000" w:themeColor="text1"/>
          </w:rPr>
          <w:t>LINEAR</w:t>
        </w:r>
      </w:hyperlink>
      <w:r w:rsidR="0070024A">
        <w:rPr>
          <w:bCs/>
          <w:color w:val="000000" w:themeColor="text1"/>
        </w:rPr>
        <w:t xml:space="preserve"> (Lincoln Near-Earth Asteroid Research) trouva en 1998, l’année de son installation. En 1999, il fut remplacé par LINEAR 2.</w:t>
      </w:r>
    </w:p>
    <w:p>
      <w:pPr>
        <w:pStyle w:val="NormalWeb"/>
        <w:spacing w:before="0" w:beforeAutospacing="0" w:after="0" w:afterAutospacing="0"/>
        <w:ind w:firstLine="708"/>
        <w:jc w:val="both"/>
        <w:rPr>
          <w:bCs/>
          <w:color w:val="000000" w:themeColor="text1"/>
        </w:rPr>
      </w:pPr>
      <w:r w:rsidR="0070024A">
        <w:rPr>
          <w:bCs/>
          <w:color w:val="000000" w:themeColor="text1"/>
        </w:rPr>
        <w:t xml:space="preserve">Avec le nombre des astéroïdes augmentait aussi celui des informations que les astronomes réussirent à obtenir. </w:t>
      </w:r>
    </w:p>
    <w:p>
      <w:pPr>
        <w:pStyle w:val="NormalWeb"/>
        <w:spacing w:before="0" w:beforeAutospacing="0" w:after="0" w:afterAutospacing="0"/>
        <w:ind w:firstLine="708"/>
        <w:jc w:val="both"/>
        <w:rPr>
          <w:bCs/>
          <w:color w:val="000000" w:themeColor="text1"/>
        </w:rPr>
      </w:pPr>
      <w:r w:rsidR="0070024A">
        <w:t xml:space="preserve">Bien que l’on eût longtemps cru que ces petits corps ne seraient que de roches nues, on comprit enfin que leur composition était aussi diverse que celle des planètes. </w:t>
      </w:r>
    </w:p>
    <w:sectPr w:rsidR="00197649" w:rsidRPr="0070024A" w:rsidSect="00197649">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3284A">
        <w:separator/>
      </w:r>
    </w:p>
  </w:endnote>
  <w:endnote w:type="continuationSeparator" w:id="1">
    <w:p>
      <w:pPr>
        <w:spacing w:after="0" w:line="240" w:lineRule="auto"/>
      </w:pPr>
      <w:r w:rsidR="0093284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4427D">
      <w:t>376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3284A">
        <w:separator/>
      </w:r>
    </w:p>
  </w:footnote>
  <w:footnote w:type="continuationSeparator" w:id="1">
    <w:p>
      <w:pPr>
        <w:spacing w:after="0" w:line="240" w:lineRule="auto"/>
      </w:pPr>
      <w:r w:rsidR="0093284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B4427D"/>
    <w:rsid w:val="00197649"/>
    <w:rsid w:val="0070024A"/>
    <w:rsid w:val="0093284A"/>
    <w:rsid w:val="00960D08"/>
    <w:rsid w:val="00B4427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97649"/>
  </w:style>
  <w:style w:type="paragraph" w:styleId="Titre1">
    <w:name w:val="heading 1"/>
    <w:basedOn w:val="Normal"/>
    <w:link w:val="Titre1Car"/>
    <w:uiPriority w:val="9"/>
    <w:qFormat/>
    <w:rsid w:val="0070024A"/>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B4427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4427D"/>
  </w:style>
  <w:style w:type="paragraph" w:styleId="Pieddepage">
    <w:name w:val="footer"/>
    <w:basedOn w:val="Normal"/>
    <w:link w:val="PieddepageCar"/>
    <w:uiPriority w:val="99"/>
    <w:semiHidden/>
    <w:unhideWhenUsed/>
    <w:rsid w:val="00B4427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4427D"/>
  </w:style>
  <w:style w:type="paragraph" w:styleId="Textedebulles">
    <w:name w:val="Balloon Text"/>
    <w:basedOn w:val="Normal"/>
    <w:link w:val="TextedebullesCar"/>
    <w:uiPriority w:val="99"/>
    <w:semiHidden/>
    <w:unhideWhenUsed/>
    <w:rsid w:val="00B4427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427D"/>
    <w:rPr>
      <w:rFonts w:ascii="Tahoma" w:hAnsi="Tahoma" w:cs="Tahoma"/>
      <w:sz w:val="16"/>
      <w:szCs w:val="16"/>
    </w:rPr>
  </w:style>
  <w:style w:type="character" w:customStyle="1" w:styleId="Titre1Car">
    <w:name w:val="Titre 1 Car"/>
    <w:basedOn w:val="Policepardfaut"/>
    <w:link w:val="Titre1"/>
    <w:uiPriority w:val="9"/>
    <w:rsid w:val="0070024A"/>
    <w:rPr>
      <w:rFonts w:ascii="Georgia" w:eastAsia="Times New Roman" w:hAnsi="Georgia" w:cs="Times New Roman"/>
      <w:b/>
      <w:bCs/>
      <w:color w:val="FFFFFF"/>
      <w:kern w:val="36"/>
      <w:sz w:val="28"/>
      <w:szCs w:val="28"/>
    </w:rPr>
  </w:style>
  <w:style w:type="character" w:styleId="Lienhypertexte">
    <w:name w:val="Hyperlink"/>
    <w:basedOn w:val="Policepardfaut"/>
    <w:uiPriority w:val="99"/>
    <w:semiHidden/>
    <w:unhideWhenUsed/>
    <w:rsid w:val="0070024A"/>
    <w:rPr>
      <w:strike w:val="0"/>
      <w:dstrike w:val="0"/>
      <w:color w:val="66FFFF"/>
      <w:u w:val="none"/>
      <w:effect w:val="none"/>
    </w:rPr>
  </w:style>
  <w:style w:type="paragraph" w:styleId="NormalWeb">
    <w:name w:val="Normal (Web)"/>
    <w:basedOn w:val="Normal"/>
    <w:uiPriority w:val="99"/>
    <w:unhideWhenUsed/>
    <w:rsid w:val="0070024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1491826941">
      <w:bodyDiv w:val="1"/>
      <w:marLeft w:val="0"/>
      <w:marRight w:val="0"/>
      <w:marTop w:val="0"/>
      <w:marBottom w:val="0"/>
      <w:divBdr>
        <w:top w:val="none" w:sz="0" w:space="0" w:color="auto"/>
        <w:left w:val="none" w:sz="0" w:space="0" w:color="auto"/>
        <w:bottom w:val="none" w:sz="0" w:space="0" w:color="auto"/>
        <w:right w:val="none" w:sz="0" w:space="0" w:color="auto"/>
      </w:divBdr>
    </w:div>
    <w:div w:id="173631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a_f/inform.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anaconda-2.net/a_f/alert.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aconda-2.net/q_z/S007.htm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anaconda-2.net/a_f/alert.html" TargetMode="External"/><Relationship Id="rId4" Type="http://schemas.openxmlformats.org/officeDocument/2006/relationships/footnotes" Target="footnotes.xml"/><Relationship Id="rId9" Type="http://schemas.openxmlformats.org/officeDocument/2006/relationships/hyperlink" Target="http://www.anaconda-2.net/a_f/inform.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588</Words>
  <Characters>3240</Characters>
  <Application>Microsoft Office Word</Application>
  <DocSecurity>0</DocSecurity>
  <Lines>27</Lines>
  <Paragraphs>7</Paragraphs>
  <ScaleCrop>false</ScaleCrop>
  <Company> </Company>
  <LinksUpToDate>false</LinksUpToDate>
  <CharactersWithSpaces>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2006-09-02T15:34:00Z</dcterms:created>
  <dcterms:modified xsi:type="dcterms:W3CDTF">2006-09-03T16:56:00Z</dcterms:modified>
</cp:coreProperties>
</file>