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81D5E">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81D5E">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81D5E">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La particule alpha transportant une charge électrique positive attire les électrons des atomes rencontrés, tandis que les particules bêta étant chargées négativement, elles éjectent des électrons des atomes neutres.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Si une radiation bêta passe suffisamment prêt d’un noyau, elle peut produire des rayons X qui iront eux-mêmes ioniser d’autres noyaux.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Des radiations gammas peuvent retirer des électrons des atomes neutres, de la même manière que les rayons X, les laissant ionisés.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Une seule particule de radiation peut ioniser des centaines d’atomes neutres dans le tissu, à travers de multiples collisions, avant que toute son énergie soit absorbée.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Ceci interfère avec les liens chimiques pour certaines structures cellulaires d’importance critique comme le cytoplasme qui contient le code génétique de la cellule, et peut également produire des composants chimiques qui peuvent causer autant de dommages que l’irradiation initiale.</w:t>
      </w:r>
    </w:p>
    <w:p>
      <w:pPr>
        <w:spacing w:after="0" w:line="240" w:lineRule="auto"/>
        <w:ind w:left="709" w:hanging="1"/>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Pour des raisons pratiques, une unité de radiatio</w:t>
      </w:r>
      <w:r w:rsidR="00C50632">
        <w:rPr>
          <w:rFonts w:ascii="Times New Roman" w:hAnsi="Times New Roman" w:cs="Times New Roman"/>
          <w:color w:val="000000" w:themeColor="text1"/>
          <w:sz w:val="24"/>
          <w:szCs w:val="24"/>
        </w:rPr>
        <w:t>n appelée le "rad" a été adopté</w:t>
      </w:r>
      <w:r w:rsidR="00D81D5E">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Elle mesure la quantité d’ionisation par unité de volume produite par les particules issues de la décomposition radioactive.</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center"/>
        <w:rPr>
          <w:rFonts w:ascii="Times New Roman" w:hAnsi="Times New Roman" w:cs="Times New Roman"/>
          <w:color w:val="000000" w:themeColor="text1"/>
          <w:sz w:val="24"/>
          <w:szCs w:val="24"/>
          <w:u w:val="single"/>
        </w:rPr>
      </w:pPr>
      <w:r w:rsidR="00D81D5E">
        <w:rPr>
          <w:rFonts w:ascii="Times New Roman" w:hAnsi="Times New Roman" w:cs="Times New Roman"/>
          <w:color w:val="000000" w:themeColor="text1"/>
          <w:sz w:val="24"/>
          <w:szCs w:val="24"/>
          <w:u w:val="single"/>
        </w:rPr>
        <w:t>Note 4 : Période d'un radioélément</w:t>
      </w:r>
    </w:p>
    <w:p>
      <w:pPr>
        <w:spacing w:after="0" w:line="240" w:lineRule="auto"/>
        <w:ind w:firstLine="708"/>
        <w:jc w:val="both"/>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Le concept de période ou "demi-vie" est une des bases de la décomposition d’un radioélément.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A l’inverse de systèmes physiques (bactéries, animaux, hommes et étoiles), il est impossible de prédire avec certitude la durée de vie d’un seul radioélément.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Néanmoins, il est possible de faire abstraction du comportement aléatoire d’un noyau individuel en traitant statistiquement de grands nombres de noyaux d’un isotope particulier.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Dans le cas du thorium 232 par exemple, le processus de décomposition radioactive est si lent que 14 milliards d’années doivent s’écouler avant que la moitié de la quantité initiale de thorium 232 se soit décomposée en une configuration plus stable. </w:t>
      </w:r>
    </w:p>
    <w:p>
      <w:pPr>
        <w:spacing w:after="0" w:line="240" w:lineRule="auto"/>
        <w:ind w:left="709" w:hanging="1"/>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Ainsi, la demi-vie de cet isotope est de 14 milliards d’années.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Après l’écoulement de la seconde demi-vie (à nouveau 14 milliards d’années), seulement un quart de la quantité initiale de thorium 232 subsistera, etc.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La plupart des isotopes radioactifs de synthèse ont des périodes beaucoup plus courtes, allant de quelques secondes ou jours à des milliers d’années. </w:t>
      </w:r>
    </w:p>
    <w:p>
      <w:pPr>
        <w:spacing w:after="0" w:line="240" w:lineRule="auto"/>
        <w:ind w:left="709"/>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 xml:space="preserve">Le plutonium 239, un isotope de synthèse, a une période de 24 000 ans.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Pour l’isotope le plus courant de l’uranium, le U-238, la période</w:t>
      </w:r>
      <w:r w:rsidR="00441180">
        <w:rPr>
          <w:rFonts w:ascii="Times New Roman" w:hAnsi="Times New Roman" w:cs="Times New Roman"/>
          <w:color w:val="000000" w:themeColor="text1"/>
          <w:sz w:val="24"/>
          <w:szCs w:val="24"/>
        </w:rPr>
        <w:t xml:space="preserve"> est de 4,5 milliards d’années…</w:t>
      </w:r>
      <w:r w:rsidR="00D81D5E">
        <w:rPr>
          <w:rFonts w:ascii="Times New Roman" w:hAnsi="Times New Roman" w:cs="Times New Roman"/>
          <w:color w:val="000000" w:themeColor="text1"/>
          <w:sz w:val="24"/>
          <w:szCs w:val="24"/>
        </w:rPr>
        <w:t xml:space="preserve">environ l’âge du système solaire. </w:t>
      </w:r>
    </w:p>
    <w:p>
      <w:pPr>
        <w:spacing w:after="0" w:line="240" w:lineRule="auto"/>
        <w:ind w:firstLine="708"/>
        <w:jc w:val="both"/>
        <w:rPr>
          <w:rFonts w:ascii="Times New Roman" w:hAnsi="Times New Roman" w:cs="Times New Roman"/>
          <w:color w:val="000000" w:themeColor="text1"/>
          <w:sz w:val="24"/>
          <w:szCs w:val="24"/>
        </w:rPr>
      </w:pPr>
      <w:r w:rsidR="00D81D5E">
        <w:rPr>
          <w:rFonts w:ascii="Times New Roman" w:hAnsi="Times New Roman" w:cs="Times New Roman"/>
          <w:color w:val="000000" w:themeColor="text1"/>
          <w:sz w:val="24"/>
          <w:szCs w:val="24"/>
        </w:rPr>
        <w:t>Le plus rare et fissionable des isotopes de l’uranium, le U-</w:t>
      </w:r>
      <w:smartTag w:uri="urn:schemas-microsoft-com:office:smarttags" w:element="metricconverter">
        <w:smartTagPr>
          <w:attr w:name="ProductID" w:val="235 a"/>
        </w:smartTagPr>
        <w:r w:rsidR="00D81D5E">
          <w:rPr>
            <w:rFonts w:ascii="Times New Roman" w:hAnsi="Times New Roman" w:cs="Times New Roman"/>
            <w:color w:val="000000" w:themeColor="text1"/>
            <w:sz w:val="24"/>
            <w:szCs w:val="24"/>
          </w:rPr>
          <w:t>235 a</w:t>
        </w:r>
      </w:smartTag>
      <w:r w:rsidR="00D81D5E">
        <w:rPr>
          <w:rFonts w:ascii="Times New Roman" w:hAnsi="Times New Roman" w:cs="Times New Roman"/>
          <w:color w:val="000000" w:themeColor="text1"/>
          <w:sz w:val="24"/>
          <w:szCs w:val="24"/>
        </w:rPr>
        <w:t xml:space="preserve"> une période de 700 millions d’années, indiquant que son abondance actuelle n’est que 1% de ce qu’elle était au moment où le système solaire est né.</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p>
    <w:sectPr w:rsidR="00441180" w:rsidSect="009B6C17">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75BE7">
        <w:separator/>
      </w:r>
    </w:p>
  </w:endnote>
  <w:endnote w:type="continuationSeparator" w:id="1">
    <w:p>
      <w:pPr>
        <w:spacing w:after="0" w:line="240" w:lineRule="auto"/>
      </w:pPr>
      <w:r w:rsidR="00875BE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81D5E">
      <w:t>103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75BE7">
        <w:separator/>
      </w:r>
    </w:p>
  </w:footnote>
  <w:footnote w:type="continuationSeparator" w:id="1">
    <w:p>
      <w:pPr>
        <w:spacing w:after="0" w:line="240" w:lineRule="auto"/>
      </w:pPr>
      <w:r w:rsidR="00875BE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D81D5E"/>
    <w:rsid w:val="000538E4"/>
    <w:rsid w:val="00083C28"/>
    <w:rsid w:val="00441180"/>
    <w:rsid w:val="00875BE7"/>
    <w:rsid w:val="009B6C17"/>
    <w:rsid w:val="00B52491"/>
    <w:rsid w:val="00C31BC4"/>
    <w:rsid w:val="00C50632"/>
    <w:rsid w:val="00D537C5"/>
    <w:rsid w:val="00D81D5E"/>
    <w:rsid w:val="00DF674F"/>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B6C1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81D5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81D5E"/>
  </w:style>
  <w:style w:type="paragraph" w:styleId="Pieddepage">
    <w:name w:val="footer"/>
    <w:basedOn w:val="Normal"/>
    <w:link w:val="PieddepageCar"/>
    <w:uiPriority w:val="99"/>
    <w:semiHidden/>
    <w:unhideWhenUsed/>
    <w:rsid w:val="00D81D5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81D5E"/>
  </w:style>
  <w:style w:type="paragraph" w:styleId="Textedebulles">
    <w:name w:val="Balloon Text"/>
    <w:basedOn w:val="Normal"/>
    <w:link w:val="TextedebullesCar"/>
    <w:uiPriority w:val="99"/>
    <w:semiHidden/>
    <w:unhideWhenUsed/>
    <w:rsid w:val="00D81D5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81D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9700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416</Words>
  <Characters>2288</Characters>
  <Application>Microsoft Office Word</Application>
  <DocSecurity>0</DocSecurity>
  <Lines>19</Lines>
  <Paragraphs>5</Paragraphs>
  <ScaleCrop>false</ScaleCrop>
  <Company> </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2006-07-04T19:28:00Z</dcterms:created>
  <dcterms:modified xsi:type="dcterms:W3CDTF">2006-08-20T19:55:00Z</dcterms:modified>
</cp:coreProperties>
</file>