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2020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2020E">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2020E">
        <w:rPr>
          <w:rFonts w:ascii="Times New Roman" w:hAnsi="Times New Roman" w:cs="Times New Roman"/>
          <w:i/>
          <w:sz w:val="24"/>
          <w:szCs w:val="24"/>
        </w:rPr>
        <w:t>4 jours</w:t>
      </w:r>
    </w:p>
    <w:p>
      <w:pPr>
        <w:spacing w:after="0" w:line="240" w:lineRule="auto"/>
        <w:jc w:val="both"/>
        <w:rPr>
          <w:rFonts w:ascii="Times New Roman" w:hAnsi="Times New Roman" w:cs="Times New Roman"/>
          <w:color w:val="000000" w:themeColor="text1"/>
          <w:sz w:val="24"/>
          <w:szCs w:val="24"/>
        </w:rPr>
      </w:pPr>
    </w:p>
    <w:p>
      <w:pPr>
        <w:pStyle w:val="ListParagraph"/>
        <w:spacing w:after="0" w:line="240" w:lineRule="auto"/>
        <w:ind w:left="0" w:firstLine="709"/>
        <w:jc w:val="both"/>
        <w:rPr>
          <w:rFonts w:ascii="Times New Roman" w:hAnsi="Times New Roman" w:cs="Times New Roman"/>
          <w:color w:val="000000" w:themeColor="text1"/>
          <w:sz w:val="24"/>
          <w:szCs w:val="24"/>
        </w:rPr>
      </w:pPr>
      <w:r w:rsidR="00B92209" w:rsidRPr="005C0102">
        <w:rPr>
          <w:rFonts w:ascii="Times New Roman" w:hAnsi="Times New Roman" w:cs="Times New Roman"/>
          <w:color w:val="000000" w:themeColor="text1"/>
          <w:sz w:val="24"/>
          <w:szCs w:val="24"/>
        </w:rPr>
        <w:t xml:space="preserve">Dans les deux cas, la luminosité est maximale à une longueur d'onde comparable à la taille de la particule (0.1 à 20 µm).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D'après les données de la sonde Giotto, il pourrait y avoir une perte de masse beaucoup plus importante due à des grains plus gros (jusqu'à </w:t>
      </w:r>
      <w:smartTag w:uri="urn:schemas-microsoft-com:office:smarttags" w:element="metricconverter">
        <w:smartTagPr>
          <w:attr w:name="ProductID" w:val="10 cm"/>
        </w:smartTagPr>
        <w:r w:rsidR="00B92209">
          <w:rPr>
            <w:rFonts w:ascii="Times New Roman" w:hAnsi="Times New Roman" w:cs="Times New Roman"/>
            <w:color w:val="000000" w:themeColor="text1"/>
            <w:sz w:val="24"/>
            <w:szCs w:val="24"/>
          </w:rPr>
          <w:t>10 cm</w:t>
        </w:r>
      </w:smartTag>
      <w:r w:rsidR="005C0102">
        <w:rPr>
          <w:rFonts w:ascii="Times New Roman" w:hAnsi="Times New Roman" w:cs="Times New Roman"/>
          <w:color w:val="000000" w:themeColor="text1"/>
          <w:sz w:val="24"/>
          <w:szCs w:val="24"/>
        </w:rPr>
        <w:t>).</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Pour une comète du type d'Halley, à 1 UA du soleil, la vitesse de production Qg est de l’ordre de 6.10</w:t>
      </w:r>
      <w:r w:rsidR="00B92209">
        <w:rPr>
          <w:rFonts w:ascii="Times New Roman" w:hAnsi="Times New Roman" w:cs="Times New Roman"/>
          <w:color w:val="000000" w:themeColor="text1"/>
          <w:sz w:val="24"/>
          <w:szCs w:val="24"/>
          <w:vertAlign w:val="superscript"/>
        </w:rPr>
        <w:t>29</w:t>
      </w:r>
      <w:r w:rsidR="00B92209">
        <w:rPr>
          <w:rFonts w:ascii="Times New Roman" w:hAnsi="Times New Roman" w:cs="Times New Roman"/>
          <w:color w:val="000000" w:themeColor="text1"/>
          <w:sz w:val="24"/>
          <w:szCs w:val="24"/>
        </w:rPr>
        <w:t xml:space="preserve"> molecules.s-1, accompagnée d’une perte de masse comparable en poussières : </w:t>
      </w:r>
      <w:smartTag w:uri="urn:schemas-microsoft-com:office:smarttags" w:element="metricconverter">
        <w:smartTagPr>
          <w:attr w:name="ProductID" w:val="104 kg"/>
        </w:smartTagPr>
        <w:r w:rsidR="00B92209">
          <w:rPr>
            <w:rFonts w:ascii="Times New Roman" w:hAnsi="Times New Roman" w:cs="Times New Roman"/>
            <w:color w:val="000000" w:themeColor="text1"/>
            <w:sz w:val="24"/>
            <w:szCs w:val="24"/>
          </w:rPr>
          <w:t>10</w:t>
        </w:r>
        <w:r w:rsidR="00B92209">
          <w:rPr>
            <w:rFonts w:ascii="Times New Roman" w:hAnsi="Times New Roman" w:cs="Times New Roman"/>
            <w:color w:val="000000" w:themeColor="text1"/>
            <w:sz w:val="24"/>
            <w:szCs w:val="24"/>
            <w:vertAlign w:val="superscript"/>
          </w:rPr>
          <w:t>4</w:t>
        </w:r>
        <w:r w:rsidR="00B92209">
          <w:rPr>
            <w:rFonts w:ascii="Times New Roman" w:hAnsi="Times New Roman" w:cs="Times New Roman"/>
            <w:color w:val="000000" w:themeColor="text1"/>
            <w:sz w:val="24"/>
            <w:szCs w:val="24"/>
          </w:rPr>
          <w:t xml:space="preserve"> kg</w:t>
        </w:r>
      </w:smartTag>
      <w:r w:rsidR="004255F2">
        <w:rPr>
          <w:rFonts w:ascii="Times New Roman" w:hAnsi="Times New Roman" w:cs="Times New Roman"/>
          <w:color w:val="000000" w:themeColor="text1"/>
          <w:sz w:val="24"/>
          <w:szCs w:val="24"/>
        </w:rPr>
        <w:t xml:space="preserve"> de poussières par seconde.</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Dans ce cas, la densité totale de gaz près du noyau est d’environ 3.10</w:t>
      </w:r>
      <w:r w:rsidR="00B92209">
        <w:rPr>
          <w:rFonts w:ascii="Times New Roman" w:hAnsi="Times New Roman" w:cs="Times New Roman"/>
          <w:color w:val="000000" w:themeColor="text1"/>
          <w:sz w:val="24"/>
          <w:szCs w:val="24"/>
          <w:vertAlign w:val="superscript"/>
        </w:rPr>
        <w:t>12</w:t>
      </w:r>
      <w:r w:rsidR="00B92209">
        <w:rPr>
          <w:rFonts w:ascii="Times New Roman" w:hAnsi="Times New Roman" w:cs="Times New Roman"/>
          <w:color w:val="000000" w:themeColor="text1"/>
          <w:sz w:val="24"/>
          <w:szCs w:val="24"/>
        </w:rPr>
        <w:t xml:space="preserve"> cm-3 (soit environ 10</w:t>
      </w:r>
      <w:r w:rsidR="00B92209">
        <w:rPr>
          <w:rFonts w:ascii="Times New Roman" w:hAnsi="Times New Roman" w:cs="Times New Roman"/>
          <w:color w:val="000000" w:themeColor="text1"/>
          <w:sz w:val="24"/>
          <w:szCs w:val="24"/>
          <w:vertAlign w:val="superscript"/>
        </w:rPr>
        <w:t>-4</w:t>
      </w:r>
      <w:r w:rsidR="00B92209">
        <w:rPr>
          <w:rFonts w:ascii="Times New Roman" w:hAnsi="Times New Roman" w:cs="Times New Roman"/>
          <w:color w:val="000000" w:themeColor="text1"/>
          <w:sz w:val="24"/>
          <w:szCs w:val="24"/>
        </w:rPr>
        <w:t xml:space="preserve"> mb), et elle chute à 10</w:t>
      </w:r>
      <w:r w:rsidR="00B92209">
        <w:rPr>
          <w:rFonts w:ascii="Times New Roman" w:hAnsi="Times New Roman" w:cs="Times New Roman"/>
          <w:color w:val="000000" w:themeColor="text1"/>
          <w:sz w:val="24"/>
          <w:szCs w:val="24"/>
          <w:vertAlign w:val="superscript"/>
        </w:rPr>
        <w:t>6</w:t>
      </w:r>
      <w:r w:rsidR="00B92209">
        <w:rPr>
          <w:rFonts w:ascii="Times New Roman" w:hAnsi="Times New Roman" w:cs="Times New Roman"/>
          <w:color w:val="000000" w:themeColor="text1"/>
          <w:sz w:val="24"/>
          <w:szCs w:val="24"/>
        </w:rPr>
        <w:t xml:space="preserve"> cm-3 à </w:t>
      </w:r>
      <w:smartTag w:uri="urn:schemas-microsoft-com:office:smarttags" w:element="metricconverter">
        <w:smartTagPr>
          <w:attr w:name="ProductID" w:val="5000 km"/>
        </w:smartTagPr>
        <w:r w:rsidR="00B92209">
          <w:rPr>
            <w:rFonts w:ascii="Times New Roman" w:hAnsi="Times New Roman" w:cs="Times New Roman"/>
            <w:color w:val="000000" w:themeColor="text1"/>
            <w:sz w:val="24"/>
            <w:szCs w:val="24"/>
          </w:rPr>
          <w:t>5000 km</w:t>
        </w:r>
      </w:smartTag>
      <w:r w:rsidR="00B92209">
        <w:rPr>
          <w:rFonts w:ascii="Times New Roman" w:hAnsi="Times New Roman" w:cs="Times New Roman"/>
          <w:color w:val="000000" w:themeColor="text1"/>
          <w:sz w:val="24"/>
          <w:szCs w:val="24"/>
        </w:rPr>
        <w:t xml:space="preserve"> du noyau.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Cette distance correspond au rayon de la sphère de collision Rc à l'intérieur de laquelle la densité est suffisante pour que des réactions entre molécules puissent avoir lieu.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Rc diffère selon les processus étudiés, mais c'est une grandeur utile pour des discussions qualitatives.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Au-delà de Rc, un domaine de flux libre de molécules caractérise la coma externe (exosphère).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L’estimation d’un profil de température des gaz à l’intérieur de la coma dépend des modèles et des processus thermiques qui y sont pris en compte.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A 1 UA, elle est de l’ordre de 100 ou 200 K au niveau du noyau, avant de chuter à environ une dizaine de K en quelques kilomètres. </w:t>
      </w:r>
    </w:p>
    <w:p>
      <w:pPr>
        <w:spacing w:after="0" w:line="240" w:lineRule="auto"/>
        <w:ind w:left="709"/>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Elle remonte ensuite au niveau d’une centaine de K</w:t>
      </w:r>
      <w:r w:rsidR="004255F2">
        <w:rPr>
          <w:rFonts w:ascii="Times New Roman" w:hAnsi="Times New Roman" w:cs="Times New Roman"/>
          <w:color w:val="000000" w:themeColor="text1"/>
          <w:sz w:val="24"/>
          <w:szCs w:val="24"/>
        </w:rPr>
        <w:t>.</w:t>
      </w:r>
    </w:p>
    <w:p>
      <w:pPr>
        <w:spacing w:after="0" w:line="240" w:lineRule="auto"/>
        <w:ind w:left="709" w:hanging="1"/>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Les molécules issues du noyau sont appelées molécules mères. </w:t>
      </w:r>
    </w:p>
    <w:p>
      <w:pPr>
        <w:spacing w:after="0" w:line="240" w:lineRule="auto"/>
        <w:ind w:firstLine="708"/>
        <w:jc w:val="both"/>
        <w:rPr>
          <w:rFonts w:ascii="Times New Roman" w:hAnsi="Times New Roman" w:cs="Times New Roman"/>
          <w:color w:val="000000" w:themeColor="text1"/>
          <w:sz w:val="24"/>
          <w:szCs w:val="24"/>
        </w:rPr>
      </w:pPr>
      <w:r w:rsidR="00B92209">
        <w:rPr>
          <w:rFonts w:ascii="Times New Roman" w:hAnsi="Times New Roman" w:cs="Times New Roman"/>
          <w:color w:val="000000" w:themeColor="text1"/>
          <w:sz w:val="24"/>
          <w:szCs w:val="24"/>
        </w:rPr>
        <w:t xml:space="preserve">Elles peuvent prendre part à des réactions chimiques, mais sont surtout photodissociées ou photoionisées par les UV solaires pour donner des molécules filles comme des radicaux, des atomes ou des ions observés dans l'UV ou le visible. </w:t>
      </w:r>
    </w:p>
    <w:p>
      <w:pPr>
        <w:spacing w:after="0" w:line="240" w:lineRule="auto"/>
        <w:ind w:firstLine="708"/>
        <w:jc w:val="both"/>
        <w:rPr>
          <w:rFonts w:ascii="Times New Roman" w:hAnsi="Times New Roman" w:cs="Times New Roman"/>
          <w:color w:val="000000" w:themeColor="text1"/>
          <w:sz w:val="24"/>
          <w:szCs w:val="24"/>
        </w:rPr>
      </w:pPr>
      <w:r w:rsidR="005C0102">
        <w:rPr>
          <w:rFonts w:ascii="Times New Roman" w:hAnsi="Times New Roman" w:cs="Times New Roman"/>
          <w:color w:val="000000" w:themeColor="text1"/>
          <w:sz w:val="24"/>
          <w:szCs w:val="24"/>
        </w:rPr>
        <w:t>Il est</w:t>
      </w:r>
      <w:r w:rsidR="00B92209">
        <w:rPr>
          <w:rFonts w:ascii="Times New Roman" w:hAnsi="Times New Roman" w:cs="Times New Roman"/>
          <w:color w:val="000000" w:themeColor="text1"/>
          <w:sz w:val="24"/>
          <w:szCs w:val="24"/>
        </w:rPr>
        <w:t xml:space="preserve"> aussi</w:t>
      </w:r>
      <w:r w:rsidR="005C0102">
        <w:rPr>
          <w:rFonts w:ascii="Times New Roman" w:hAnsi="Times New Roman" w:cs="Times New Roman"/>
          <w:color w:val="000000" w:themeColor="text1"/>
          <w:sz w:val="24"/>
          <w:szCs w:val="24"/>
        </w:rPr>
        <w:t xml:space="preserve"> observé que</w:t>
      </w:r>
      <w:r w:rsidR="00B92209">
        <w:rPr>
          <w:rFonts w:ascii="Times New Roman" w:hAnsi="Times New Roman" w:cs="Times New Roman"/>
          <w:color w:val="000000" w:themeColor="text1"/>
          <w:sz w:val="24"/>
          <w:szCs w:val="24"/>
        </w:rPr>
        <w:t xml:space="preserve"> des sources étendues de molécules, dont </w:t>
      </w:r>
      <w:r w:rsidR="005C0102">
        <w:rPr>
          <w:rFonts w:ascii="Times New Roman" w:hAnsi="Times New Roman" w:cs="Times New Roman"/>
          <w:color w:val="000000" w:themeColor="text1"/>
          <w:sz w:val="24"/>
          <w:szCs w:val="24"/>
        </w:rPr>
        <w:t>il est démontrable</w:t>
      </w:r>
      <w:r w:rsidR="00B92209">
        <w:rPr>
          <w:rFonts w:ascii="Times New Roman" w:hAnsi="Times New Roman" w:cs="Times New Roman"/>
          <w:color w:val="000000" w:themeColor="text1"/>
          <w:sz w:val="24"/>
          <w:szCs w:val="24"/>
        </w:rPr>
        <w:t xml:space="preserve"> à montrer qu’elles ne sont pas émises directement à partir du noyau, mais progressivement dans la coma.</w:t>
      </w:r>
    </w:p>
    <w:p>
      <w:pPr>
        <w:spacing w:after="0" w:line="240" w:lineRule="auto"/>
        <w:jc w:val="center"/>
        <w:rPr>
          <w:color w:val="000000" w:themeColor="text1"/>
        </w:rPr>
      </w:pPr>
    </w:p>
    <w:p>
      <w:pPr>
        <w:spacing w:after="0" w:line="240" w:lineRule="auto"/>
        <w:jc w:val="center"/>
        <w:rPr>
          <w:rFonts w:ascii="Times New Roman" w:hAnsi="Times New Roman" w:cs="Times New Roman"/>
          <w:color w:val="000000" w:themeColor="text1"/>
          <w:sz w:val="24"/>
          <w:szCs w:val="24"/>
        </w:rPr>
      </w:pPr>
      <w:r w:rsidR="00B92209" w:rsidRPr="004255F2">
        <w:rPr>
          <w:rFonts w:ascii="Times New Roman" w:hAnsi="Times New Roman" w:cs="Times New Roman"/>
          <w:b/>
          <w:color w:val="000000" w:themeColor="text1"/>
          <w:sz w:val="24"/>
          <w:szCs w:val="24"/>
        </w:rPr>
        <w:t>La queue d'ions, de poussières et le nuage d'hydrogène</w:t>
      </w:r>
    </w:p>
    <w:p>
      <w:pPr>
        <w:spacing w:after="0" w:line="240" w:lineRule="auto"/>
        <w:jc w:val="center"/>
        <w:rPr>
          <w:rFonts w:ascii="Times New Roman" w:hAnsi="Times New Roman" w:cs="Times New Roman"/>
          <w:color w:val="000000" w:themeColor="text1"/>
          <w:sz w:val="24"/>
          <w:szCs w:val="24"/>
          <w:u w:val="single"/>
        </w:rPr>
      </w:pPr>
      <w:r w:rsidR="00B92209" w:rsidRPr="004255F2">
        <w:rPr>
          <w:rFonts w:ascii="Times New Roman" w:hAnsi="Times New Roman" w:cs="Times New Roman"/>
          <w:color w:val="000000" w:themeColor="text1"/>
          <w:sz w:val="24"/>
          <w:szCs w:val="24"/>
        </w:rPr>
        <w:br/>
      </w:r>
      <w:r w:rsidR="00B92209" w:rsidRPr="004255F2">
        <w:rPr>
          <w:rFonts w:ascii="Times New Roman" w:hAnsi="Times New Roman" w:cs="Times New Roman"/>
          <w:color w:val="000000" w:themeColor="text1"/>
          <w:sz w:val="24"/>
          <w:szCs w:val="24"/>
          <w:u w:val="single"/>
        </w:rPr>
        <w:t>A de grandes distances du noyau, la coma se sépare en deux queues :</w:t>
      </w:r>
    </w:p>
    <w:p>
      <w:pPr>
        <w:spacing w:after="0" w:line="240" w:lineRule="auto"/>
        <w:jc w:val="center"/>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r w:rsidR="00B92209" w:rsidRPr="004255F2">
        <w:rPr>
          <w:rFonts w:ascii="Times New Roman" w:hAnsi="Times New Roman" w:cs="Times New Roman"/>
          <w:b/>
          <w:bCs/>
          <w:color w:val="000000" w:themeColor="text1"/>
          <w:sz w:val="24"/>
          <w:szCs w:val="24"/>
        </w:rPr>
        <w:t>*</w:t>
      </w:r>
      <w:r w:rsidR="00B92209" w:rsidRPr="004255F2">
        <w:rPr>
          <w:rFonts w:ascii="Times New Roman" w:hAnsi="Times New Roman" w:cs="Times New Roman"/>
          <w:i/>
          <w:iCs/>
          <w:color w:val="000000" w:themeColor="text1"/>
          <w:sz w:val="24"/>
          <w:szCs w:val="24"/>
        </w:rPr>
        <w:t xml:space="preserve"> La queue d’ions</w:t>
      </w:r>
      <w:r w:rsidR="00B92209" w:rsidRPr="004255F2">
        <w:rPr>
          <w:rFonts w:ascii="Times New Roman" w:hAnsi="Times New Roman" w:cs="Times New Roman"/>
          <w:color w:val="000000" w:themeColor="text1"/>
          <w:sz w:val="24"/>
          <w:szCs w:val="24"/>
        </w:rPr>
        <w:t xml:space="preserve"> peut atteindre 100 millions de kilomètres. Elle est rectiligne, entraînée par le vent solaire. Cette queue est composée par les ions issus de la photochimie dans la coma. </w:t>
      </w:r>
    </w:p>
    <w:p>
      <w:pPr>
        <w:spacing w:after="0" w:line="240" w:lineRule="auto"/>
        <w:jc w:val="both"/>
        <w:rPr>
          <w:rFonts w:ascii="Times New Roman" w:hAnsi="Times New Roman" w:cs="Times New Roman"/>
          <w:color w:val="000000" w:themeColor="text1"/>
          <w:sz w:val="24"/>
          <w:szCs w:val="24"/>
        </w:rPr>
      </w:pPr>
      <w:r w:rsidR="00B92209" w:rsidRPr="004255F2">
        <w:rPr>
          <w:rFonts w:ascii="Times New Roman" w:hAnsi="Times New Roman" w:cs="Times New Roman"/>
          <w:b/>
          <w:bCs/>
          <w:color w:val="000000" w:themeColor="text1"/>
          <w:sz w:val="24"/>
          <w:szCs w:val="24"/>
        </w:rPr>
        <w:t>*</w:t>
      </w:r>
      <w:r w:rsidR="00B92209" w:rsidRPr="004255F2">
        <w:rPr>
          <w:rFonts w:ascii="Times New Roman" w:hAnsi="Times New Roman" w:cs="Times New Roman"/>
          <w:color w:val="000000" w:themeColor="text1"/>
          <w:sz w:val="24"/>
          <w:szCs w:val="24"/>
        </w:rPr>
        <w:t xml:space="preserve"> </w:t>
      </w:r>
      <w:r w:rsidR="00B92209" w:rsidRPr="004255F2">
        <w:rPr>
          <w:rFonts w:ascii="Times New Roman" w:hAnsi="Times New Roman" w:cs="Times New Roman"/>
          <w:i/>
          <w:iCs/>
          <w:color w:val="000000" w:themeColor="text1"/>
          <w:sz w:val="24"/>
          <w:szCs w:val="24"/>
        </w:rPr>
        <w:t>La queue de poussières</w:t>
      </w:r>
      <w:r w:rsidR="00B92209" w:rsidRPr="004255F2">
        <w:rPr>
          <w:rFonts w:ascii="Times New Roman" w:hAnsi="Times New Roman" w:cs="Times New Roman"/>
          <w:color w:val="000000" w:themeColor="text1"/>
          <w:sz w:val="24"/>
          <w:szCs w:val="24"/>
        </w:rPr>
        <w:t xml:space="preserve"> peut s’étendre sur 10 millions de kilomètres. Elle est formée des particules de poussière qui sont éjectées du noyau lorsque les gaz subliment. C’est la partie qui est visible à l’œil nu pour les comètes les plus spectaculaires. Cette queue est courbe et sa direction opposée au soleil. Les grains finissent par se satelliser autour du soleil, et quand la Terre entre dans une région qui a été traversée par une comète, les particules, en pénétrant dans l’atmosphère, produisent des étoiles filantes. Enfin, </w:t>
      </w:r>
      <w:r w:rsidR="00B92209" w:rsidRPr="004255F2">
        <w:rPr>
          <w:rFonts w:ascii="Times New Roman" w:hAnsi="Times New Roman" w:cs="Times New Roman"/>
          <w:i/>
          <w:iCs/>
          <w:color w:val="000000" w:themeColor="text1"/>
          <w:sz w:val="24"/>
          <w:szCs w:val="24"/>
        </w:rPr>
        <w:t>un nuage d’hydrogène</w:t>
      </w:r>
      <w:r w:rsidR="00B92209" w:rsidRPr="004255F2">
        <w:rPr>
          <w:rFonts w:ascii="Times New Roman" w:hAnsi="Times New Roman" w:cs="Times New Roman"/>
          <w:color w:val="000000" w:themeColor="text1"/>
          <w:sz w:val="24"/>
          <w:szCs w:val="24"/>
        </w:rPr>
        <w:t xml:space="preserve"> dont le rayon peut atteindre plusieurs millions de kilomètres (typiquement </w:t>
      </w:r>
      <w:smartTag w:uri="urn:schemas-microsoft-com:office:smarttags" w:element="metricconverter">
        <w:smartTagPr>
          <w:attr w:name="ProductID" w:val="100 000 000 km"/>
        </w:smartTagPr>
        <w:r w:rsidR="00B92209" w:rsidRPr="004255F2">
          <w:rPr>
            <w:rFonts w:ascii="Times New Roman" w:hAnsi="Times New Roman" w:cs="Times New Roman"/>
            <w:color w:val="000000" w:themeColor="text1"/>
            <w:sz w:val="24"/>
            <w:szCs w:val="24"/>
          </w:rPr>
          <w:t>100 000 000 km</w:t>
        </w:r>
      </w:smartTag>
      <w:r w:rsidR="00B92209" w:rsidRPr="004255F2">
        <w:rPr>
          <w:rFonts w:ascii="Times New Roman" w:hAnsi="Times New Roman" w:cs="Times New Roman"/>
          <w:color w:val="000000" w:themeColor="text1"/>
          <w:sz w:val="24"/>
          <w:szCs w:val="24"/>
        </w:rPr>
        <w:t>) entoure la comète d’une enveloppe très tenue d’atomes d’hydrogène.</w:t>
      </w:r>
    </w:p>
    <w:p>
      <w:pPr>
        <w:spacing w:after="0" w:line="240" w:lineRule="auto"/>
        <w:jc w:val="both"/>
        <w:rPr>
          <w:rFonts w:ascii="Times New Roman" w:hAnsi="Times New Roman" w:cs="Times New Roman"/>
          <w:color w:val="000000" w:themeColor="text1"/>
          <w:sz w:val="24"/>
          <w:szCs w:val="24"/>
        </w:rPr>
      </w:pPr>
    </w:p>
    <w:p>
      <w:pPr>
        <w:spacing w:line="240" w:lineRule="auto"/>
      </w:pPr>
    </w:p>
    <w:sectPr w:rsidR="00EF5F25" w:rsidSect="0032199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5136A">
        <w:separator/>
      </w:r>
    </w:p>
  </w:endnote>
  <w:endnote w:type="continuationSeparator" w:id="1">
    <w:p>
      <w:pPr>
        <w:spacing w:after="0" w:line="240" w:lineRule="auto"/>
      </w:pPr>
      <w:r w:rsidR="0065136A">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255F2">
      <w:t>190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5136A">
        <w:separator/>
      </w:r>
    </w:p>
  </w:footnote>
  <w:footnote w:type="continuationSeparator" w:id="1">
    <w:p>
      <w:pPr>
        <w:spacing w:after="0" w:line="240" w:lineRule="auto"/>
      </w:pPr>
      <w:r w:rsidR="0065136A">
        <w:continuationSeparator/>
      </w:r>
    </w:p>
  </w:footnote>
</w:footnotes>
</file>

<file path=word/header1.xml><?xml version="1.0" encoding="utf-8"?>
<w:hd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En-tte"/>
      <w:jc w:val="center"/>
    </w:pPr>
  </w:p>
</w:hdr>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289407A"/>
    <w:multiLevelType w:val="hybridMultilevel"/>
    <w:tmpl w:val="E012C798"/>
    <w:lvl w:ilvl="0" w:tplc="D9E23BFE">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4338"/>
  </w:hdrShapeDefaults>
  <w:footnotePr>
    <w:footnote w:id="0"/>
    <w:footnote w:id="1"/>
  </w:footnotePr>
  <w:endnotePr>
    <w:endnote w:id="0"/>
    <w:endnote w:id="1"/>
  </w:endnotePr>
  <w:compat>
    <w:snapToGridInCell/>
    <w:wrapTextWithPunct/>
    <w:useEastAsianBreakRules/>
    <w:growAutofit/>
    <w:useFELayout/>
  </w:compat>
  <w:rsids>
    <w:rsidRoot w:val="00E2020E"/>
    <w:rsid w:val="00045A48"/>
    <w:rsid w:val="0029194A"/>
    <w:rsid w:val="00321990"/>
    <w:rsid w:val="003531A8"/>
    <w:rsid w:val="004255F2"/>
    <w:rsid w:val="005C0102"/>
    <w:rsid w:val="0065136A"/>
    <w:rsid w:val="007F2F7E"/>
    <w:rsid w:val="00B92209"/>
    <w:rsid w:val="00C108C9"/>
    <w:rsid w:val="00C362C2"/>
    <w:rsid w:val="00C83D0E"/>
    <w:rsid w:val="00E2020E"/>
    <w:rsid w:val="00E34619"/>
    <w:rsid w:val="00EF5F25"/>
    <w:rsid w:val="00F70480"/>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2199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92209"/>
    <w:rPr>
      <w:strike w:val="0"/>
      <w:dstrike w:val="0"/>
      <w:color w:val="0112D7"/>
      <w:u w:val="none"/>
      <w:effect w:val="none"/>
    </w:rPr>
  </w:style>
  <w:style w:type="paragraph" w:styleId="NormalWeb">
    <w:name w:val="Normal (Web)"/>
    <w:basedOn w:val="Normal"/>
    <w:uiPriority w:val="99"/>
    <w:semiHidden/>
    <w:unhideWhenUsed/>
    <w:rsid w:val="00B92209"/>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4255F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255F2"/>
  </w:style>
  <w:style w:type="paragraph" w:styleId="Pieddepage">
    <w:name w:val="footer"/>
    <w:basedOn w:val="Normal"/>
    <w:link w:val="PieddepageCar"/>
    <w:uiPriority w:val="99"/>
    <w:semiHidden/>
    <w:unhideWhenUsed/>
    <w:rsid w:val="004255F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255F2"/>
  </w:style>
  <w:style w:type="paragraph" w:styleId="Textedebulles">
    <w:name w:val="Balloon Text"/>
    <w:basedOn w:val="Normal"/>
    <w:link w:val="TextedebullesCar"/>
    <w:uiPriority w:val="99"/>
    <w:semiHidden/>
    <w:unhideWhenUsed/>
    <w:rsid w:val="004255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55F2"/>
    <w:rPr>
      <w:rFonts w:ascii="Tahoma" w:hAnsi="Tahoma" w:cs="Tahoma"/>
      <w:sz w:val="16"/>
      <w:szCs w:val="16"/>
    </w:rPr>
  </w:style>
  <w:style w:type="paragraph" w:styleId="ListParagraph">
    <w:name w:val="List Paragraph"/>
    <w:basedOn w:val="Normal"/>
    <w:uiPriority w:val="34"/>
    <w:qFormat/>
    <w:rsid w:val="005C0102"/>
    <w:pPr>
      <w:ind w:left="720"/>
      <w:contextualSpacing/>
    </w:pPr>
  </w:style>
</w:styles>
</file>

<file path=word/webSettings.xml><?xml version="1.0" encoding="utf-8"?>
<w:webSettings xmlns:r="http://schemas.openxmlformats.org/officeDocument/2006/relationships" xmlns:w="http://schemas.openxmlformats.org/wordprocessingml/2006/3/main">
  <w:divs>
    <w:div w:id="406920378">
      <w:bodyDiv w:val="1"/>
      <w:marLeft w:val="0"/>
      <w:marRight w:val="0"/>
      <w:marTop w:val="0"/>
      <w:marBottom w:val="0"/>
      <w:divBdr>
        <w:top w:val="none" w:sz="0" w:space="0" w:color="auto"/>
        <w:left w:val="none" w:sz="0" w:space="0" w:color="auto"/>
        <w:bottom w:val="none" w:sz="0" w:space="0" w:color="auto"/>
        <w:right w:val="none" w:sz="0" w:space="0" w:color="auto"/>
      </w:divBdr>
    </w:div>
    <w:div w:id="57293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E65FD97F-4AED-4463-8909-8096ACC2B60A}">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445</Words>
  <Characters>2452</Characters>
  <Application>Microsoft Office Word</Application>
  <DocSecurity>0</DocSecurity>
  <Lines>20</Lines>
  <Paragraphs>5</Paragraphs>
  <ScaleCrop>false</ScaleCrop>
  <Company> </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2006-08-19T11:15:00Z</dcterms:created>
  <dcterms:modified xsi:type="dcterms:W3CDTF">2006-08-20T17:07:00Z</dcterms:modified>
</cp:coreProperties>
</file>