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319D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319D6">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319D6">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2F7401" w:rsidRPr="002F7401">
        <w:rPr>
          <w:rStyle w:val="titre-lettre1"/>
          <w:rFonts w:ascii="Times New Roman" w:eastAsiaTheme="majorEastAsia" w:hAnsi="Times New Roman"/>
          <w:b/>
          <w:color w:val="000000" w:themeColor="text1"/>
          <w:sz w:val="24"/>
          <w:szCs w:val="24"/>
        </w:rPr>
        <w:t>D</w:t>
      </w:r>
      <w:r w:rsidR="002F7401" w:rsidRPr="002F7401">
        <w:rPr>
          <w:rStyle w:val="titre10"/>
          <w:rFonts w:ascii="Times New Roman" w:hAnsi="Times New Roman"/>
          <w:b/>
          <w:color w:val="000000" w:themeColor="text1"/>
          <w:sz w:val="24"/>
          <w:szCs w:val="24"/>
        </w:rPr>
        <w:t>éroulement</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Les portions du ciel que l'on peut observer doivent être éloignées à la fois du Soleil, de la Terre et même de la Lune. </w:t>
      </w:r>
    </w:p>
    <w:p>
      <w:pPr>
        <w:spacing w:after="0" w:line="240" w:lineRule="auto"/>
        <w:ind w:left="709" w:hanging="1"/>
        <w:jc w:val="both"/>
        <w:rPr>
          <w:rFonts w:ascii="Times New Roman" w:eastAsia="Times New Roman" w:hAnsi="Times New Roman" w:cs="Times New Roman"/>
          <w:sz w:val="24"/>
          <w:szCs w:val="24"/>
        </w:rPr>
      </w:pPr>
      <w:r w:rsidR="002F7401" w:rsidRPr="002F7401">
        <w:rPr>
          <w:rFonts w:ascii="Times New Roman" w:eastAsia="Times New Roman" w:hAnsi="Times New Roman" w:cs="Times New Roman"/>
          <w:color w:val="000000" w:themeColor="text1"/>
          <w:sz w:val="24"/>
          <w:szCs w:val="24"/>
        </w:rPr>
        <w:t xml:space="preserve">La direction de visée ne doit jamais être occultée par la Terre : </w:t>
      </w:r>
    </w:p>
    <w:p>
      <w:pPr>
        <w:numPr>
          <w:ilvl w:val="0"/>
          <w:numId w:val="2"/>
        </w:numPr>
        <w:spacing w:after="0" w:line="240" w:lineRule="auto"/>
        <w:ind w:left="0" w:firstLine="240"/>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Il faut donc observer dans une direction très proche de la perpendiculaire au plan de l'orbite. </w:t>
      </w:r>
    </w:p>
    <w:p>
      <w:pPr>
        <w:numPr>
          <w:ilvl w:val="0"/>
          <w:numId w:val="2"/>
        </w:numPr>
        <w:spacing w:after="0" w:line="240" w:lineRule="auto"/>
        <w:ind w:left="0" w:firstLine="240"/>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Pour que le satellite tourne toujours le dos au Soleil et puisque la Terre tourne autour du Soleil en un an, on tourne le satellite tous les six mois et on observe dans deux directions "opposées".</w:t>
      </w:r>
    </w:p>
    <w:p>
      <w:pPr>
        <w:numPr>
          <w:ilvl w:val="0"/>
          <w:numId w:val="4"/>
        </w:numPr>
        <w:spacing w:after="0" w:line="240" w:lineRule="auto"/>
        <w:ind w:left="0" w:firstLine="240"/>
        <w:jc w:val="center"/>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i/>
          <w:iCs/>
          <w:color w:val="000000" w:themeColor="text1"/>
          <w:sz w:val="24"/>
          <w:szCs w:val="24"/>
        </w:rPr>
        <w:t>Ainsi on observe vers le centre galactique en été et vers l'anticentre en hiver.</w:t>
      </w:r>
    </w:p>
    <w:p>
      <w:pPr>
        <w:numPr>
          <w:ilvl w:val="0"/>
          <w:numId w:val="4"/>
        </w:numPr>
        <w:spacing w:after="0" w:line="240" w:lineRule="auto"/>
        <w:ind w:left="0" w:firstLine="240"/>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Pour conserver un rendement maximum les panneaux solaires doivent être réorientés en direction du soleil tous les 10 jours environ.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2F7401" w:rsidRPr="002F7401">
        <w:rPr>
          <w:rStyle w:val="titre-lettre1"/>
          <w:rFonts w:ascii="Times New Roman" w:eastAsiaTheme="majorEastAsia" w:hAnsi="Times New Roman"/>
          <w:b/>
          <w:color w:val="000000" w:themeColor="text1"/>
          <w:sz w:val="24"/>
          <w:szCs w:val="24"/>
        </w:rPr>
        <w:t>T</w:t>
      </w:r>
      <w:r w:rsidR="002F7401" w:rsidRPr="002F7401">
        <w:rPr>
          <w:rStyle w:val="titre10"/>
          <w:rFonts w:ascii="Times New Roman" w:hAnsi="Times New Roman"/>
          <w:b/>
          <w:color w:val="000000" w:themeColor="text1"/>
          <w:sz w:val="24"/>
          <w:szCs w:val="24"/>
        </w:rPr>
        <w:t>ravail de préparation</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La sélection des étoiles à observer avec CoRoT nécessite un travail très minutieux de préparation, que ce soit pour le programme de sismologie pour lequel il s'agit de rassembler le maximum d'information sur quelques centaines d'étoiles ou pour la recherche d'exo-planètes pour laquelle il faut rassembler des données sur une centaine de milliers étoiles. </w:t>
      </w:r>
    </w:p>
    <w:p>
      <w:pPr>
        <w:spacing w:after="0" w:line="240" w:lineRule="auto"/>
        <w:ind w:firstLine="708"/>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Ce travail de sélection a réclamé un vaste effort d'observation au sol des cibles potentielles de la mission. </w:t>
      </w:r>
    </w:p>
    <w:p>
      <w:pPr>
        <w:spacing w:after="0" w:line="240" w:lineRule="auto"/>
        <w:ind w:firstLine="708"/>
        <w:jc w:val="both"/>
        <w:rPr>
          <w:rFonts w:ascii="Times New Roman" w:eastAsia="Times New Roman" w:hAnsi="Times New Roman" w:cs="Times New Roman"/>
          <w:color w:val="000000" w:themeColor="text1"/>
          <w:sz w:val="24"/>
          <w:szCs w:val="24"/>
        </w:rPr>
      </w:pPr>
      <w:r w:rsidR="002F7401" w:rsidRPr="002F7401">
        <w:rPr>
          <w:rFonts w:ascii="Times New Roman" w:eastAsia="Times New Roman" w:hAnsi="Times New Roman" w:cs="Times New Roman"/>
          <w:color w:val="000000" w:themeColor="text1"/>
          <w:sz w:val="24"/>
          <w:szCs w:val="24"/>
        </w:rPr>
        <w:t xml:space="preserve">Commencé début 1998, il se terminera fin 2005 ; il aura nécessité 350 à 400 nuits d'observations préparatoires. </w:t>
      </w:r>
    </w:p>
    <w:p>
      <w:pPr>
        <w:spacing w:after="0" w:line="240" w:lineRule="auto"/>
        <w:ind w:firstLine="708"/>
        <w:jc w:val="both"/>
        <w:rPr>
          <w:rFonts w:ascii="Times New Roman" w:eastAsia="Times New Roman" w:hAnsi="Times New Roman" w:cs="Times New Roman"/>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2F7401" w:rsidRPr="002F7401">
        <w:rPr>
          <w:rStyle w:val="titre-lettre1"/>
          <w:rFonts w:ascii="Times New Roman" w:eastAsiaTheme="majorEastAsia" w:hAnsi="Times New Roman"/>
          <w:b/>
          <w:color w:val="000000" w:themeColor="text1"/>
          <w:sz w:val="24"/>
          <w:szCs w:val="24"/>
        </w:rPr>
        <w:t>P</w:t>
      </w:r>
      <w:r w:rsidR="002F7401" w:rsidRPr="002F7401">
        <w:rPr>
          <w:rStyle w:val="titre10"/>
          <w:rFonts w:ascii="Times New Roman" w:hAnsi="Times New Roman"/>
          <w:b/>
          <w:color w:val="000000" w:themeColor="text1"/>
          <w:sz w:val="24"/>
          <w:szCs w:val="24"/>
        </w:rPr>
        <w:t>réparation du programme de sismologie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left="709"/>
        <w:jc w:val="both"/>
      </w:pPr>
      <w:r w:rsidR="002F7401" w:rsidRPr="002F7401">
        <w:rPr>
          <w:color w:val="000000" w:themeColor="text1"/>
        </w:rPr>
        <w:t xml:space="preserve">Pour le programme de sismologie il faut : </w:t>
      </w:r>
    </w:p>
    <w:p>
      <w:pPr>
        <w:pStyle w:val="NormalWeb"/>
        <w:spacing w:before="0" w:beforeAutospacing="0" w:after="0" w:afterAutospacing="0"/>
        <w:ind w:firstLine="709"/>
        <w:jc w:val="both"/>
        <w:rPr>
          <w:color w:val="000000" w:themeColor="text1"/>
        </w:rPr>
      </w:pPr>
      <w:r w:rsidR="002F7401" w:rsidRPr="002F7401">
        <w:rPr>
          <w:color w:val="000000" w:themeColor="text1"/>
        </w:rPr>
        <w:t xml:space="preserve">Connaître de façon précise et sûre les températures effectives, luminosités, valeurs de la gravité de surface, vitesses de rotation, ainsi que les abondances en surface des éléments chimiques de toutes les étoiles cibles potentielles de la mission. </w:t>
      </w:r>
    </w:p>
    <w:p>
      <w:pPr>
        <w:pStyle w:val="NormalWeb"/>
        <w:spacing w:before="0" w:beforeAutospacing="0" w:after="0" w:afterAutospacing="0"/>
        <w:ind w:left="720"/>
        <w:jc w:val="both"/>
        <w:rPr>
          <w:color w:val="000000" w:themeColor="text1"/>
        </w:rPr>
      </w:pPr>
      <w:r w:rsidR="002F7401">
        <w:rPr>
          <w:color w:val="000000" w:themeColor="text1"/>
        </w:rPr>
        <w:t>Identifier</w:t>
      </w:r>
      <w:r w:rsidR="002F7401" w:rsidRPr="002F7401">
        <w:rPr>
          <w:color w:val="000000" w:themeColor="text1"/>
        </w:rPr>
        <w:t xml:space="preserve"> les systèmes doubles et multiples </w:t>
      </w:r>
    </w:p>
    <w:p>
      <w:pPr>
        <w:pStyle w:val="NormalWeb"/>
        <w:spacing w:before="0" w:beforeAutospacing="0" w:after="0" w:afterAutospacing="0"/>
        <w:ind w:firstLine="709"/>
        <w:jc w:val="both"/>
        <w:rPr>
          <w:color w:val="000000" w:themeColor="text1"/>
        </w:rPr>
      </w:pPr>
      <w:r w:rsidR="002F7401" w:rsidRPr="002F7401">
        <w:rPr>
          <w:color w:val="000000" w:themeColor="text1"/>
        </w:rPr>
        <w:t xml:space="preserve">-Relever toutes les particularités des étoiles à observer (par exemple un niveau élevé d'activité magnétique) </w:t>
      </w:r>
    </w:p>
    <w:p>
      <w:pPr>
        <w:pStyle w:val="NormalWeb"/>
        <w:spacing w:before="0" w:beforeAutospacing="0" w:after="0" w:afterAutospacing="0"/>
        <w:ind w:firstLine="708"/>
        <w:jc w:val="both"/>
        <w:rPr>
          <w:color w:val="000000" w:themeColor="text1"/>
        </w:rPr>
      </w:pPr>
      <w:r w:rsidR="002F7401">
        <w:rPr>
          <w:color w:val="000000" w:themeColor="text1"/>
        </w:rPr>
        <w:t>-</w:t>
      </w:r>
      <w:r w:rsidR="002F7401" w:rsidRPr="002F7401">
        <w:rPr>
          <w:color w:val="000000" w:themeColor="text1"/>
        </w:rPr>
        <w:t xml:space="preserve">Détecter la présence de sources proches des étoiles-cibles. </w:t>
      </w:r>
    </w:p>
    <w:p>
      <w:pPr>
        <w:pStyle w:val="NormalWeb"/>
        <w:spacing w:before="0" w:beforeAutospacing="0" w:after="0" w:afterAutospacing="0"/>
        <w:ind w:firstLine="708"/>
        <w:jc w:val="both"/>
        <w:rPr>
          <w:color w:val="000000" w:themeColor="text1"/>
        </w:rPr>
      </w:pPr>
      <w:r w:rsidR="002F7401" w:rsidRPr="002F7401">
        <w:rPr>
          <w:color w:val="000000" w:themeColor="text1"/>
        </w:rPr>
        <w:t xml:space="preserve">La connaissance de ces éléments nécessite un programme d'observation au sol qui comprend trois volets : </w:t>
      </w:r>
      <w:hyperlink r:id="rId7" w:history="1">
        <w:r w:rsidR="002F7401" w:rsidRPr="002F7401">
          <w:rPr>
            <w:rStyle w:val="Lienhypertexte"/>
            <w:color w:val="000000" w:themeColor="text1"/>
          </w:rPr>
          <w:t>Photométrie</w:t>
        </w:r>
      </w:hyperlink>
      <w:r w:rsidR="002F7401" w:rsidRPr="002F7401">
        <w:rPr>
          <w:color w:val="000000" w:themeColor="text1"/>
        </w:rPr>
        <w:t xml:space="preserve">, </w:t>
      </w:r>
      <w:hyperlink r:id="rId8" w:history="1">
        <w:r w:rsidR="002F7401" w:rsidRPr="002F7401">
          <w:rPr>
            <w:rStyle w:val="Lienhypertexte"/>
            <w:color w:val="000000" w:themeColor="text1"/>
          </w:rPr>
          <w:t>Spectroscopie</w:t>
        </w:r>
      </w:hyperlink>
      <w:r w:rsidR="002F7401" w:rsidRPr="002F7401">
        <w:rPr>
          <w:color w:val="000000" w:themeColor="text1"/>
        </w:rPr>
        <w:t xml:space="preserve">, </w:t>
      </w:r>
      <w:hyperlink r:id="rId9" w:history="1">
        <w:r w:rsidR="002F7401" w:rsidRPr="002F7401">
          <w:rPr>
            <w:rStyle w:val="Lienhypertexte"/>
            <w:color w:val="000000" w:themeColor="text1"/>
          </w:rPr>
          <w:t>Imagerie</w:t>
        </w:r>
      </w:hyperlink>
      <w:r w:rsidR="002F7401" w:rsidRPr="002F7401">
        <w:rPr>
          <w:color w:val="000000" w:themeColor="text1"/>
        </w:rPr>
        <w:t xml:space="preserve"> dont les résultats sont rassemblés dans une base de données. </w:t>
      </w:r>
    </w:p>
    <w:p>
      <w:pPr>
        <w:pStyle w:val="NormalWeb"/>
        <w:spacing w:before="0" w:beforeAutospacing="0" w:after="0" w:afterAutospacing="0"/>
        <w:ind w:left="709" w:hanging="1"/>
        <w:jc w:val="both"/>
        <w:rPr>
          <w:color w:val="000000" w:themeColor="text1"/>
        </w:rPr>
      </w:pPr>
      <w:r w:rsidR="002F7401" w:rsidRPr="002F7401">
        <w:rPr>
          <w:color w:val="000000" w:themeColor="text1"/>
        </w:rPr>
        <w:t xml:space="preserve">Les </w:t>
      </w:r>
      <w:hyperlink r:id="rId10" w:history="1">
        <w:r w:rsidR="002F7401" w:rsidRPr="002F7401">
          <w:rPr>
            <w:rStyle w:val="Lienhypertexte"/>
            <w:color w:val="000000" w:themeColor="text1"/>
          </w:rPr>
          <w:t>transits</w:t>
        </w:r>
      </w:hyperlink>
      <w:r w:rsidR="002F7401" w:rsidRPr="002F7401">
        <w:rPr>
          <w:color w:val="000000" w:themeColor="text1"/>
        </w:rPr>
        <w:t xml:space="preserve"> sont plus faciles à détecter autour des étoiles naines. </w:t>
      </w:r>
    </w:p>
    <w:p>
      <w:pPr>
        <w:pStyle w:val="NormalWeb"/>
        <w:spacing w:before="0" w:beforeAutospacing="0" w:after="0" w:afterAutospacing="0"/>
        <w:ind w:firstLine="708"/>
        <w:jc w:val="both"/>
        <w:rPr>
          <w:color w:val="000000" w:themeColor="text1"/>
        </w:rPr>
      </w:pPr>
      <w:r w:rsidR="002F7401" w:rsidRPr="002F7401">
        <w:rPr>
          <w:color w:val="000000" w:themeColor="text1"/>
        </w:rPr>
        <w:t xml:space="preserve">Si la densité d'étoiles est trop faible le nombre de cibles possibles est trop faible. Si elle est trop élevée, les images des étoiles voisines se superposent et polluent l'observation. </w:t>
      </w:r>
    </w:p>
    <w:p>
      <w:pPr>
        <w:pStyle w:val="NormalWeb"/>
        <w:spacing w:before="0" w:beforeAutospacing="0" w:after="0" w:afterAutospacing="0"/>
        <w:ind w:firstLine="708"/>
        <w:jc w:val="both"/>
        <w:rPr>
          <w:rFonts w:eastAsiaTheme="minorEastAsia"/>
          <w:i/>
          <w:iCs/>
          <w:color w:val="000000" w:themeColor="text1"/>
        </w:rPr>
      </w:pPr>
      <w:r w:rsidR="002F7401" w:rsidRPr="002F7401">
        <w:t xml:space="preserve">La couleur du symbole est liée à la température de surface de l'étoile et sa taille à son éclat. </w:t>
      </w:r>
      <w:r w:rsidR="002F7401" w:rsidRPr="002F7401">
        <w:rPr>
          <w:rStyle w:val="Accentuation"/>
          <w:rFonts w:eastAsiaTheme="minorEastAsia"/>
          <w:color w:val="000000" w:themeColor="text1"/>
        </w:rPr>
        <w:t>Parmi ces étoiles CoRoT n'en observera que 5 par détecteur.</w:t>
      </w:r>
    </w:p>
    <w:sectPr w:rsidR="002F7401" w:rsidRPr="002F7401" w:rsidSect="00100416">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F14A1">
        <w:separator/>
      </w:r>
    </w:p>
  </w:endnote>
  <w:endnote w:type="continuationSeparator" w:id="1">
    <w:p>
      <w:pPr>
        <w:spacing w:after="0" w:line="240" w:lineRule="auto"/>
      </w:pPr>
      <w:r w:rsidR="006F14A1">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C538F">
      <w:t>400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F14A1">
        <w:separator/>
      </w:r>
    </w:p>
  </w:footnote>
  <w:footnote w:type="continuationSeparator" w:id="1">
    <w:p>
      <w:pPr>
        <w:spacing w:after="0" w:line="240" w:lineRule="auto"/>
      </w:pPr>
      <w:r w:rsidR="006F14A1">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8" type="#_x0000_t75" style="width:3in;height:3in" o:bullet="t"/>
    </w:pict>
  </w:numPicBullet>
  <w:numPicBullet w:numPicBulletId="1">
    <w:pict>
      <v:shape id="_x0000_i1359" type="#_x0000_t75" style="width:3in;height:3in" o:bullet="t"/>
    </w:pict>
  </w:numPicBullet>
  <w:numPicBullet w:numPicBulletId="2">
    <w:pict>
      <v:shape id="_x0000_i1360" type="#_x0000_t75" style="width:3in;height:3in" o:bullet="t"/>
    </w:pict>
  </w:numPicBullet>
  <w:numPicBullet w:numPicBulletId="3">
    <w:pict>
      <v:shape id="_x0000_i1361" type="#_x0000_t75" style="width:3in;height:3in" o:bullet="t"/>
    </w:pict>
  </w:numPicBullet>
  <w:numPicBullet w:numPicBulletId="4">
    <w:pict>
      <v:shape id="_x0000_i1362" type="#_x0000_t75" style="width:3in;height:3in" o:bullet="t"/>
    </w:pict>
  </w:numPicBullet>
  <w:numPicBullet w:numPicBulletId="5">
    <w:pict>
      <v:shape id="_x0000_i1363" type="#_x0000_t75" style="width:3in;height:3in" o:bullet="t"/>
    </w:pict>
  </w:numPicBullet>
  <w:numPicBullet w:numPicBulletId="6">
    <w:pict>
      <v:shape id="_x0000_i1364" type="#_x0000_t75" style="width:3in;height:3in" o:bullet="t"/>
    </w:pict>
  </w:numPicBullet>
  <w:numPicBullet w:numPicBulletId="7">
    <w:pict>
      <v:shape id="_x0000_i1365" type="#_x0000_t75" style="width:3in;height:3in" o:bullet="t"/>
    </w:pict>
  </w:numPicBullet>
  <w:numPicBullet w:numPicBulletId="8">
    <w:pict>
      <v:shape id="_x0000_i1366" type="#_x0000_t75" style="width:3in;height:3in" o:bullet="t"/>
    </w:pict>
  </w:numPicBullet>
  <w:numPicBullet w:numPicBulletId="9">
    <w:pict>
      <v:shape id="_x0000_i1367" type="#_x0000_t75" style="width:3in;height:3in" o:bullet="t"/>
    </w:pict>
  </w:numPicBullet>
  <w:numPicBullet w:numPicBulletId="10">
    <w:pict>
      <v:shape id="_x0000_i1368" type="#_x0000_t75" style="width:3in;height:3in" o:bullet="t"/>
    </w:pict>
  </w:numPicBullet>
  <w:numPicBullet w:numPicBulletId="11">
    <w:pict>
      <v:shape id="_x0000_i1369" type="#_x0000_t75" style="width:3in;height:3in" o:bullet="t"/>
    </w:pict>
  </w:numPicBullet>
  <w:numPicBullet w:numPicBulletId="12">
    <w:pict>
      <v:shape id="_x0000_i1370" type="#_x0000_t75" style="width:3in;height:3in" o:bullet="t"/>
    </w:pict>
  </w:numPicBullet>
  <w:numPicBullet w:numPicBulletId="13">
    <w:pict>
      <v:shape id="_x0000_i1371" type="#_x0000_t75" style="width:3in;height:3in" o:bullet="t"/>
    </w:pict>
  </w:numPicBullet>
  <w:numPicBullet w:numPicBulletId="14">
    <w:pict>
      <v:shape id="_x0000_i1372" type="#_x0000_t75" style="width:11.25pt;height:9.75pt" o:bullet="t">
        <v:imagedata r:id="rId1" o:title="clip_image001"/>
      </v:shape>
    </w:pict>
  </w:numPicBullet>
  <w:numPicBullet w:numPicBulletId="15">
    <w:pict>
      <v:shape id="_x0000_i1373" type="#_x0000_t75" style="width:3in;height:3in" o:bullet="t"/>
    </w:pict>
  </w:numPicBullet>
  <w:numPicBullet w:numPicBulletId="16">
    <w:pict>
      <v:shape id="_x0000_i1374" type="#_x0000_t75" style="width:3in;height:3in" o:bullet="t"/>
    </w:pict>
  </w:numPicBullet>
  <w:numPicBullet w:numPicBulletId="17">
    <w:pict>
      <v:shape id="_x0000_i1375" type="#_x0000_t75" style="width:3in;height:3in" o:bullet="t"/>
    </w:pict>
  </w:numPicBullet>
  <w:numPicBullet w:numPicBulletId="18">
    <w:pict>
      <v:shape id="_x0000_i1376" type="#_x0000_t75" style="width:3in;height:3in" o:bullet="t"/>
    </w:pict>
  </w:numPicBullet>
  <w:numPicBullet w:numPicBulletId="19">
    <w:pict>
      <v:shape id="_x0000_i1377" type="#_x0000_t75" style="width:3in;height:3in" o:bullet="t"/>
    </w:pict>
  </w:numPicBullet>
  <w:numPicBullet w:numPicBulletId="20">
    <w:pict>
      <v:shape id="_x0000_i1378" type="#_x0000_t75" style="width:3in;height:3in" o:bullet="t"/>
    </w:pict>
  </w:numPicBullet>
  <w:numPicBullet w:numPicBulletId="21">
    <w:pict>
      <v:shape id="_x0000_i1379" type="#_x0000_t75" style="width:3in;height:3in" o:bullet="t"/>
    </w:pict>
  </w:numPicBullet>
  <w:numPicBullet w:numPicBulletId="22">
    <w:pict>
      <v:shape id="_x0000_i1380" type="#_x0000_t75" style="width:3in;height:3in" o:bullet="t"/>
    </w:pict>
  </w:numPicBullet>
  <w:abstractNum w:abstractNumId="0">
    <w:nsid w:val="064122E0"/>
    <w:multiLevelType w:val="multilevel"/>
    <w:tmpl w:val="95101466"/>
    <w:lvl w:ilvl="0">
      <w:start w:val="1"/>
      <w:numFmt w:val="bullet"/>
      <w:lvlText w:val=""/>
      <w:lvlPicBulletId w:val="15"/>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8B2F5E"/>
    <w:multiLevelType w:val="multilevel"/>
    <w:tmpl w:val="DFBA9A6A"/>
    <w:lvl w:ilvl="0">
      <w:start w:val="1"/>
      <w:numFmt w:val="bullet"/>
      <w:lvlText w:val=""/>
      <w:lvlPicBulletId w:val="2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F7727B"/>
    <w:multiLevelType w:val="multilevel"/>
    <w:tmpl w:val="EA74F4B2"/>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131B3C"/>
    <w:multiLevelType w:val="multilevel"/>
    <w:tmpl w:val="2DF0CA56"/>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0981809"/>
    <w:multiLevelType w:val="multilevel"/>
    <w:tmpl w:val="DFBA9A6A"/>
    <w:lvl w:ilvl="0">
      <w:start w:val="1"/>
      <w:numFmt w:val="bullet"/>
      <w:lvlText w:val=""/>
      <w:lvlPicBulletId w:val="2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73129B0"/>
    <w:multiLevelType w:val="multilevel"/>
    <w:tmpl w:val="2DF0CA56"/>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9F028B6"/>
    <w:multiLevelType w:val="multilevel"/>
    <w:tmpl w:val="8FB81424"/>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E965D47"/>
    <w:multiLevelType w:val="multilevel"/>
    <w:tmpl w:val="7FD48D14"/>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6575629"/>
    <w:multiLevelType w:val="multilevel"/>
    <w:tmpl w:val="1A8CCA96"/>
    <w:lvl w:ilvl="0">
      <w:start w:val="1"/>
      <w:numFmt w:val="bullet"/>
      <w:lvlText w:val=""/>
      <w:lvlPicBulletId w:val="1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A2316A1"/>
    <w:multiLevelType w:val="multilevel"/>
    <w:tmpl w:val="A2FE8520"/>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E946A29"/>
    <w:multiLevelType w:val="multilevel"/>
    <w:tmpl w:val="AF2E0E72"/>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F60753C"/>
    <w:multiLevelType w:val="multilevel"/>
    <w:tmpl w:val="392822C2"/>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1954222"/>
    <w:multiLevelType w:val="multilevel"/>
    <w:tmpl w:val="B86CA03A"/>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4703D88"/>
    <w:multiLevelType w:val="multilevel"/>
    <w:tmpl w:val="50E84F0C"/>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2072217"/>
    <w:multiLevelType w:val="multilevel"/>
    <w:tmpl w:val="392822C2"/>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27271CC"/>
    <w:multiLevelType w:val="multilevel"/>
    <w:tmpl w:val="50E84F0C"/>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325449D"/>
    <w:multiLevelType w:val="multilevel"/>
    <w:tmpl w:val="1A8CCA96"/>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6F75A11"/>
    <w:multiLevelType w:val="multilevel"/>
    <w:tmpl w:val="EA74F4B2"/>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8F66C21"/>
    <w:multiLevelType w:val="multilevel"/>
    <w:tmpl w:val="AF2E0E72"/>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FD176BA"/>
    <w:multiLevelType w:val="multilevel"/>
    <w:tmpl w:val="F88E2B38"/>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2D641C0"/>
    <w:multiLevelType w:val="multilevel"/>
    <w:tmpl w:val="8FB81424"/>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9D93985"/>
    <w:multiLevelType w:val="multilevel"/>
    <w:tmpl w:val="F88E2B38"/>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AC525B3"/>
    <w:multiLevelType w:val="multilevel"/>
    <w:tmpl w:val="B86CA03A"/>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D2130B8"/>
    <w:multiLevelType w:val="multilevel"/>
    <w:tmpl w:val="95101466"/>
    <w:lvl w:ilvl="0">
      <w:start w:val="1"/>
      <w:numFmt w:val="bullet"/>
      <w:lvlText w:val=""/>
      <w:lvlPicBulletId w:val="16"/>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5"/>
  </w:num>
  <w:num w:numId="3">
    <w:abstractNumId w:val="10"/>
  </w:num>
  <w:num w:numId="4">
    <w:abstractNumId w:val="18"/>
  </w:num>
  <w:num w:numId="5">
    <w:abstractNumId w:val="14"/>
  </w:num>
  <w:num w:numId="6">
    <w:abstractNumId w:val="11"/>
  </w:num>
  <w:num w:numId="7">
    <w:abstractNumId w:val="15"/>
  </w:num>
  <w:num w:numId="8">
    <w:abstractNumId w:val="13"/>
  </w:num>
  <w:num w:numId="9">
    <w:abstractNumId w:val="22"/>
  </w:num>
  <w:num w:numId="10">
    <w:abstractNumId w:val="19"/>
  </w:num>
  <w:num w:numId="11">
    <w:abstractNumId w:val="2"/>
  </w:num>
  <w:num w:numId="12">
    <w:abstractNumId w:val="17"/>
  </w:num>
  <w:num w:numId="13">
    <w:abstractNumId w:val="23"/>
  </w:num>
  <w:num w:numId="14">
    <w:abstractNumId w:val="12"/>
  </w:num>
  <w:num w:numId="15">
    <w:abstractNumId w:val="9"/>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4"/>
  </w:num>
  <w:num w:numId="19">
    <w:abstractNumId w:val="16"/>
  </w:num>
  <w:num w:numId="20">
    <w:abstractNumId w:val="8"/>
  </w:num>
  <w:num w:numId="21">
    <w:abstractNumId w:val="7"/>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6"/>
  </w:num>
  <w:num w:numId="25">
    <w:abstractNumId w:val="4"/>
  </w:num>
  <w:num w:numId="26">
    <w:abstractNumId w:val="1"/>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C538F"/>
    <w:rsid w:val="00100416"/>
    <w:rsid w:val="00173D46"/>
    <w:rsid w:val="002B6244"/>
    <w:rsid w:val="002E59A1"/>
    <w:rsid w:val="002F7401"/>
    <w:rsid w:val="006F14A1"/>
    <w:rsid w:val="007C538F"/>
    <w:rsid w:val="00D319D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00416"/>
  </w:style>
  <w:style w:type="paragraph" w:styleId="Titre1">
    <w:name w:val="heading 1"/>
    <w:basedOn w:val="Normal"/>
    <w:link w:val="Titre1Car"/>
    <w:uiPriority w:val="9"/>
    <w:qFormat/>
    <w:rsid w:val="002F7401"/>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2F74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F74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C538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C538F"/>
  </w:style>
  <w:style w:type="paragraph" w:styleId="Pieddepage">
    <w:name w:val="footer"/>
    <w:basedOn w:val="Normal"/>
    <w:link w:val="PieddepageCar"/>
    <w:uiPriority w:val="99"/>
    <w:semiHidden/>
    <w:unhideWhenUsed/>
    <w:rsid w:val="007C538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C538F"/>
  </w:style>
  <w:style w:type="paragraph" w:styleId="Textedebulles">
    <w:name w:val="Balloon Text"/>
    <w:basedOn w:val="Normal"/>
    <w:link w:val="TextedebullesCar"/>
    <w:uiPriority w:val="99"/>
    <w:semiHidden/>
    <w:unhideWhenUsed/>
    <w:rsid w:val="007C53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538F"/>
    <w:rPr>
      <w:rFonts w:ascii="Tahoma" w:hAnsi="Tahoma" w:cs="Tahoma"/>
      <w:sz w:val="16"/>
      <w:szCs w:val="16"/>
    </w:rPr>
  </w:style>
  <w:style w:type="paragraph" w:styleId="NormalWeb">
    <w:name w:val="Normal (Web)"/>
    <w:basedOn w:val="Normal"/>
    <w:uiPriority w:val="99"/>
    <w:unhideWhenUsed/>
    <w:rsid w:val="00D319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2F7401"/>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2F74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F7401"/>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F7401"/>
    <w:rPr>
      <w:strike w:val="0"/>
      <w:dstrike w:val="0"/>
      <w:color w:val="66FFFF"/>
      <w:u w:val="none"/>
      <w:effect w:val="none"/>
    </w:rPr>
  </w:style>
  <w:style w:type="character" w:styleId="Lienhypertextesuivivisit">
    <w:name w:val="FollowedHyperlink"/>
    <w:basedOn w:val="Policepardfaut"/>
    <w:uiPriority w:val="99"/>
    <w:semiHidden/>
    <w:unhideWhenUsed/>
    <w:rsid w:val="002F7401"/>
    <w:rPr>
      <w:color w:val="800080" w:themeColor="followedHyperlink"/>
      <w:u w:val="single"/>
    </w:rPr>
  </w:style>
  <w:style w:type="character" w:styleId="MachinecrireHTML">
    <w:name w:val="HTML Typewriter"/>
    <w:basedOn w:val="Policepardfaut"/>
    <w:uiPriority w:val="99"/>
    <w:semiHidden/>
    <w:unhideWhenUsed/>
    <w:rsid w:val="002F7401"/>
    <w:rPr>
      <w:rFonts w:ascii="Courier New" w:eastAsia="Times New Roman" w:hAnsi="Courier New" w:cs="Courier New" w:hint="default"/>
      <w:sz w:val="20"/>
      <w:szCs w:val="20"/>
    </w:rPr>
  </w:style>
  <w:style w:type="paragraph" w:styleId="NoSpacing">
    <w:name w:val="No Spacing"/>
    <w:uiPriority w:val="1"/>
    <w:semiHidden/>
    <w:qFormat/>
    <w:rsid w:val="002F740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2F7401"/>
    <w:pPr>
      <w:ind w:left="720"/>
      <w:contextualSpacing/>
    </w:pPr>
  </w:style>
  <w:style w:type="character" w:customStyle="1" w:styleId="titre-lettre1">
    <w:name w:val="titre-lettre1"/>
    <w:basedOn w:val="Policepardfaut"/>
    <w:rsid w:val="002F7401"/>
    <w:rPr>
      <w:rFonts w:ascii="Trebuchet MS" w:hAnsi="Trebuchet MS" w:hint="default"/>
      <w:color w:val="E3F5FF"/>
      <w:sz w:val="60"/>
      <w:szCs w:val="60"/>
    </w:rPr>
  </w:style>
  <w:style w:type="character" w:customStyle="1" w:styleId="titre10">
    <w:name w:val="titre1"/>
    <w:basedOn w:val="Policepardfaut"/>
    <w:rsid w:val="002F7401"/>
    <w:rPr>
      <w:rFonts w:ascii="Trebuchet MS" w:hAnsi="Trebuchet MS" w:hint="default"/>
      <w:color w:val="E3F5FF"/>
      <w:sz w:val="36"/>
      <w:szCs w:val="36"/>
    </w:rPr>
  </w:style>
  <w:style w:type="character" w:customStyle="1" w:styleId="titretable1">
    <w:name w:val="titretable1"/>
    <w:basedOn w:val="Policepardfaut"/>
    <w:rsid w:val="002F7401"/>
    <w:rPr>
      <w:rFonts w:ascii="Trebuchet MS" w:hAnsi="Trebuchet MS" w:hint="default"/>
      <w:b/>
      <w:bCs/>
      <w:color w:val="F2E9A3"/>
    </w:rPr>
  </w:style>
  <w:style w:type="character" w:styleId="Accentuation">
    <w:name w:val="Emphasis"/>
    <w:basedOn w:val="Policepardfaut"/>
    <w:uiPriority w:val="20"/>
    <w:qFormat/>
    <w:rsid w:val="002F7401"/>
    <w:rPr>
      <w:i/>
      <w:iCs/>
    </w:rPr>
  </w:style>
</w:styles>
</file>

<file path=word/webSettings.xml><?xml version="1.0" encoding="utf-8"?>
<w:webSettings xmlns:r="http://schemas.openxmlformats.org/officeDocument/2006/relationships" xmlns:w="http://schemas.openxmlformats.org/wordprocessingml/2006/3/main">
  <w:divs>
    <w:div w:id="222104043">
      <w:bodyDiv w:val="1"/>
      <w:marLeft w:val="0"/>
      <w:marRight w:val="0"/>
      <w:marTop w:val="0"/>
      <w:marBottom w:val="0"/>
      <w:divBdr>
        <w:top w:val="none" w:sz="0" w:space="0" w:color="auto"/>
        <w:left w:val="none" w:sz="0" w:space="0" w:color="auto"/>
        <w:bottom w:val="none" w:sz="0" w:space="0" w:color="auto"/>
        <w:right w:val="none" w:sz="0" w:space="0" w:color="auto"/>
      </w:divBdr>
    </w:div>
    <w:div w:id="337932140">
      <w:bodyDiv w:val="1"/>
      <w:marLeft w:val="0"/>
      <w:marRight w:val="0"/>
      <w:marTop w:val="0"/>
      <w:marBottom w:val="0"/>
      <w:divBdr>
        <w:top w:val="none" w:sz="0" w:space="0" w:color="auto"/>
        <w:left w:val="none" w:sz="0" w:space="0" w:color="auto"/>
        <w:bottom w:val="none" w:sz="0" w:space="0" w:color="auto"/>
        <w:right w:val="none" w:sz="0" w:space="0" w:color="auto"/>
      </w:divBdr>
    </w:div>
    <w:div w:id="61841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pages_corot-technique/spectroscopi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edia4.obspm.fr/exoplanetes/pages_corot-technique/photometri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media4.obspm.fr/exoplanetes/pages_corot-methodes/methode-transit.html" TargetMode="External"/><Relationship Id="rId4" Type="http://schemas.openxmlformats.org/officeDocument/2006/relationships/webSettings" Target="webSettings.xml"/><Relationship Id="rId9" Type="http://schemas.openxmlformats.org/officeDocument/2006/relationships/hyperlink" Target="http://media4.obspm.fr/exoplanetes/pages_exopl-methodes/methodes-imagerie.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446</Words>
  <Characters>2458</Characters>
  <Application>Microsoft Office Word</Application>
  <DocSecurity>0</DocSecurity>
  <Lines>20</Lines>
  <Paragraphs>5</Paragraphs>
  <ScaleCrop>false</ScaleCrop>
  <Company> </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2006-09-02T16:01:00Z</dcterms:created>
  <dcterms:modified xsi:type="dcterms:W3CDTF">2006-09-04T11:37:00Z</dcterms:modified>
</cp:coreProperties>
</file>